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A" w:rsidRPr="00C95C67" w:rsidRDefault="0037624A" w:rsidP="003762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 w:rsidRPr="00C95C67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37624A" w:rsidRPr="00C95C67" w:rsidRDefault="0037624A" w:rsidP="0037624A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410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2B10A6">
              <w:t>Примечание</w:t>
            </w:r>
          </w:p>
        </w:tc>
      </w:tr>
      <w:tr w:rsidR="00D77589" w:rsidRPr="002B10A6" w:rsidTr="00B84212">
        <w:trPr>
          <w:jc w:val="center"/>
        </w:trPr>
        <w:tc>
          <w:tcPr>
            <w:tcW w:w="2693" w:type="dxa"/>
          </w:tcPr>
          <w:p w:rsidR="00D77589" w:rsidRPr="008F588B" w:rsidRDefault="00D77589" w:rsidP="008F588B">
            <w:pPr>
              <w:jc w:val="center"/>
              <w:rPr>
                <w:sz w:val="24"/>
                <w:szCs w:val="24"/>
              </w:rPr>
            </w:pPr>
            <w:proofErr w:type="gramStart"/>
            <w:r w:rsidRPr="008F588B">
              <w:rPr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 (не в полном объеме либо неточно указаны правовое основание обработки персональных данных, цель обработки персональных данных, дата начала обработки персональных данных, описание мер, предусмотренных статьями 18.1. и 19 Федерального закона от 27.07.2006 г. № 152-ФЗ «О персональных данных»</w:t>
            </w:r>
            <w:proofErr w:type="gramEnd"/>
          </w:p>
        </w:tc>
        <w:tc>
          <w:tcPr>
            <w:tcW w:w="1417" w:type="dxa"/>
          </w:tcPr>
          <w:p w:rsidR="00D77589" w:rsidRPr="004C3270" w:rsidRDefault="00D77589" w:rsidP="00065892">
            <w:pPr>
              <w:ind w:left="-108"/>
              <w:jc w:val="center"/>
            </w:pPr>
            <w:r w:rsidRPr="004C3270">
              <w:t>5</w:t>
            </w:r>
          </w:p>
        </w:tc>
        <w:tc>
          <w:tcPr>
            <w:tcW w:w="2410" w:type="dxa"/>
          </w:tcPr>
          <w:p w:rsidR="00D77589" w:rsidRPr="004C3270" w:rsidRDefault="00D77589" w:rsidP="00D77589">
            <w:pPr>
              <w:ind w:left="-108"/>
              <w:jc w:val="center"/>
              <w:rPr>
                <w:highlight w:val="yellow"/>
              </w:rPr>
            </w:pPr>
            <w:r w:rsidRPr="004C3270">
              <w:t>26,</w:t>
            </w:r>
            <w:r>
              <w:t>3</w:t>
            </w:r>
          </w:p>
        </w:tc>
        <w:tc>
          <w:tcPr>
            <w:tcW w:w="1559" w:type="dxa"/>
          </w:tcPr>
          <w:p w:rsidR="00D77589" w:rsidRPr="008F588B" w:rsidRDefault="00D77589" w:rsidP="008F588B">
            <w:pPr>
              <w:pStyle w:val="Standard"/>
              <w:tabs>
                <w:tab w:val="left" w:pos="1500"/>
              </w:tabs>
              <w:jc w:val="center"/>
            </w:pPr>
            <w:r>
              <w:t>19</w:t>
            </w:r>
          </w:p>
        </w:tc>
        <w:tc>
          <w:tcPr>
            <w:tcW w:w="1702" w:type="dxa"/>
          </w:tcPr>
          <w:p w:rsidR="00D77589" w:rsidRPr="008F588B" w:rsidRDefault="00D77589" w:rsidP="008F588B">
            <w:pPr>
              <w:pStyle w:val="Standard"/>
              <w:tabs>
                <w:tab w:val="left" w:pos="1500"/>
              </w:tabs>
              <w:ind w:left="-4"/>
              <w:jc w:val="center"/>
            </w:pPr>
            <w:r w:rsidRPr="008F588B">
              <w:t>Операторам выданы предписания об устранении выявленного нарушения</w:t>
            </w:r>
          </w:p>
        </w:tc>
      </w:tr>
    </w:tbl>
    <w:p w:rsidR="00AE0CE7" w:rsidRDefault="00AE0CE7"/>
    <w:p w:rsidR="0037624A" w:rsidRDefault="0037624A"/>
    <w:p w:rsidR="0037624A" w:rsidRDefault="0037624A"/>
    <w:p w:rsidR="0037624A" w:rsidRPr="002B10A6" w:rsidRDefault="0037624A" w:rsidP="0037624A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37624A" w:rsidRDefault="0037624A" w:rsidP="0037624A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2410"/>
        <w:gridCol w:w="1559"/>
        <w:gridCol w:w="2268"/>
      </w:tblGrid>
      <w:tr w:rsidR="0037624A" w:rsidRPr="002B10A6" w:rsidTr="0037624A">
        <w:tc>
          <w:tcPr>
            <w:tcW w:w="240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Количество типовых нарушений в сфере связи в отчетном периоде</w:t>
            </w:r>
          </w:p>
        </w:tc>
        <w:tc>
          <w:tcPr>
            <w:tcW w:w="2410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Общее количество выявленных нарушений в сфере связи</w:t>
            </w:r>
          </w:p>
        </w:tc>
        <w:tc>
          <w:tcPr>
            <w:tcW w:w="2268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Примечание</w:t>
            </w:r>
          </w:p>
        </w:tc>
      </w:tr>
      <w:tr w:rsidR="00D77589" w:rsidRPr="002B10A6" w:rsidTr="006443AC">
        <w:tc>
          <w:tcPr>
            <w:tcW w:w="2409" w:type="dxa"/>
          </w:tcPr>
          <w:p w:rsidR="00D77589" w:rsidRPr="00CA50A2" w:rsidRDefault="00D77589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t xml:space="preserve">Нарушение норм по параметрам излучения (приема) РЭС и ВЧУ гражданского </w:t>
            </w:r>
            <w:r w:rsidRPr="00CA50A2">
              <w:lastRenderedPageBreak/>
              <w:t>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jc w:val="center"/>
            </w:pPr>
            <w:r w:rsidRPr="00544ED0">
              <w:lastRenderedPageBreak/>
              <w:t>172</w:t>
            </w:r>
          </w:p>
        </w:tc>
        <w:tc>
          <w:tcPr>
            <w:tcW w:w="2410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ind w:left="16"/>
              <w:jc w:val="center"/>
            </w:pPr>
            <w:r w:rsidRPr="00544ED0">
              <w:t>62,77%</w:t>
            </w:r>
          </w:p>
        </w:tc>
        <w:tc>
          <w:tcPr>
            <w:tcW w:w="1559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jc w:val="center"/>
            </w:pPr>
            <w:r w:rsidRPr="00544ED0">
              <w:t>274</w:t>
            </w:r>
          </w:p>
        </w:tc>
        <w:tc>
          <w:tcPr>
            <w:tcW w:w="2268" w:type="dxa"/>
            <w:vAlign w:val="center"/>
          </w:tcPr>
          <w:p w:rsidR="00D77589" w:rsidRPr="00CA50A2" w:rsidRDefault="00D77589" w:rsidP="008F588B">
            <w:pPr>
              <w:pStyle w:val="Standard"/>
              <w:tabs>
                <w:tab w:val="left" w:pos="426"/>
              </w:tabs>
              <w:ind w:left="-16"/>
              <w:jc w:val="center"/>
            </w:pPr>
            <w:r w:rsidRPr="00CA50A2">
              <w:t>Привлечены к административной ответственности по ст. 13.4 ч. 2 КоАП РФ</w:t>
            </w:r>
          </w:p>
        </w:tc>
      </w:tr>
      <w:tr w:rsidR="00D77589" w:rsidRPr="002B10A6" w:rsidTr="006443AC">
        <w:tc>
          <w:tcPr>
            <w:tcW w:w="2409" w:type="dxa"/>
          </w:tcPr>
          <w:p w:rsidR="00D77589" w:rsidRPr="00CA50A2" w:rsidRDefault="00D77589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lastRenderedPageBreak/>
              <w:t xml:space="preserve">Использование </w:t>
            </w:r>
            <w:proofErr w:type="gramStart"/>
            <w:r w:rsidRPr="00CA50A2">
              <w:t>незарегистрированных</w:t>
            </w:r>
            <w:proofErr w:type="gramEnd"/>
            <w:r w:rsidRPr="00CA50A2">
              <w:t xml:space="preserve"> РЭС, ВЧУ гражданского назначения</w:t>
            </w:r>
          </w:p>
        </w:tc>
        <w:tc>
          <w:tcPr>
            <w:tcW w:w="1417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ind w:left="-6"/>
              <w:jc w:val="center"/>
            </w:pPr>
            <w:r w:rsidRPr="00544ED0">
              <w:t>71</w:t>
            </w:r>
          </w:p>
        </w:tc>
        <w:tc>
          <w:tcPr>
            <w:tcW w:w="2410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jc w:val="center"/>
            </w:pPr>
            <w:r w:rsidRPr="00544ED0">
              <w:t>25,91%</w:t>
            </w:r>
          </w:p>
        </w:tc>
        <w:tc>
          <w:tcPr>
            <w:tcW w:w="1559" w:type="dxa"/>
            <w:vAlign w:val="center"/>
          </w:tcPr>
          <w:p w:rsidR="00D77589" w:rsidRPr="00544ED0" w:rsidRDefault="00D77589" w:rsidP="00065892">
            <w:pPr>
              <w:pStyle w:val="Standard"/>
              <w:tabs>
                <w:tab w:val="left" w:pos="426"/>
              </w:tabs>
              <w:ind w:left="-16"/>
              <w:jc w:val="center"/>
            </w:pPr>
            <w:r w:rsidRPr="00544ED0">
              <w:t>274</w:t>
            </w:r>
          </w:p>
        </w:tc>
        <w:tc>
          <w:tcPr>
            <w:tcW w:w="2268" w:type="dxa"/>
            <w:vAlign w:val="center"/>
          </w:tcPr>
          <w:p w:rsidR="00D77589" w:rsidRPr="00CA50A2" w:rsidRDefault="00D77589" w:rsidP="008F588B">
            <w:pPr>
              <w:pStyle w:val="Standard"/>
              <w:tabs>
                <w:tab w:val="left" w:pos="426"/>
              </w:tabs>
              <w:ind w:left="29"/>
              <w:jc w:val="center"/>
            </w:pPr>
            <w:r w:rsidRPr="00CA50A2">
              <w:t xml:space="preserve">Привлечены к административной ответственности по ст. 13.4 ч. </w:t>
            </w:r>
            <w:r>
              <w:t>1</w:t>
            </w:r>
            <w:r w:rsidRPr="00CA50A2">
              <w:t xml:space="preserve"> КоАП РФ</w:t>
            </w:r>
          </w:p>
        </w:tc>
      </w:tr>
    </w:tbl>
    <w:p w:rsidR="0037624A" w:rsidRPr="0009079A" w:rsidRDefault="0037624A" w:rsidP="0037624A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37624A" w:rsidRDefault="0037624A" w:rsidP="0037624A">
      <w:pPr>
        <w:jc w:val="center"/>
      </w:pPr>
      <w:r w:rsidRPr="00377EC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37624A" w:rsidRDefault="0037624A"/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 xml:space="preserve">Наименование типовых нарушений </w:t>
            </w:r>
            <w:r w:rsidRPr="00377ECD">
              <w:rPr>
                <w:bCs/>
                <w:sz w:val="20"/>
                <w:szCs w:val="20"/>
              </w:rPr>
              <w:t>в сфере массовых коммуникаций</w:t>
            </w:r>
            <w:r w:rsidRPr="00377EC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0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Примечание</w:t>
            </w:r>
          </w:p>
        </w:tc>
      </w:tr>
      <w:tr w:rsidR="00D77589" w:rsidRPr="002B10A6" w:rsidTr="005D6133">
        <w:trPr>
          <w:jc w:val="center"/>
        </w:trPr>
        <w:tc>
          <w:tcPr>
            <w:tcW w:w="2693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>Нарушение статьи 20</w:t>
            </w:r>
          </w:p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>«Нарушение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журналистов»</w:t>
            </w:r>
          </w:p>
        </w:tc>
        <w:tc>
          <w:tcPr>
            <w:tcW w:w="1417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73"/>
              <w:jc w:val="center"/>
            </w:pPr>
            <w:r w:rsidRPr="0037091B">
              <w:t>19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-121"/>
              <w:jc w:val="center"/>
            </w:pPr>
            <w:r w:rsidRPr="0037091B">
              <w:t>3</w:t>
            </w:r>
            <w:r>
              <w:t>3</w:t>
            </w:r>
            <w:r w:rsidRPr="0037091B">
              <w:t xml:space="preserve"> %</w:t>
            </w:r>
          </w:p>
        </w:tc>
        <w:tc>
          <w:tcPr>
            <w:tcW w:w="1559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37091B">
              <w:t>5</w:t>
            </w:r>
            <w:r>
              <w:t>7</w:t>
            </w:r>
          </w:p>
        </w:tc>
        <w:tc>
          <w:tcPr>
            <w:tcW w:w="1702" w:type="dxa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</w:pPr>
            <w:r w:rsidRPr="0037091B">
              <w:t xml:space="preserve">Учредителям направлены письма с просьбой </w:t>
            </w:r>
            <w:proofErr w:type="gramStart"/>
            <w:r w:rsidRPr="0037091B">
              <w:t>привести</w:t>
            </w:r>
            <w:proofErr w:type="gramEnd"/>
            <w:r w:rsidRPr="0037091B">
              <w:t xml:space="preserve"> уставы в соответствие законодательству о СМИ</w:t>
            </w:r>
          </w:p>
        </w:tc>
      </w:tr>
      <w:tr w:rsidR="00D77589" w:rsidRPr="002B10A6" w:rsidTr="00B84212">
        <w:trPr>
          <w:jc w:val="center"/>
        </w:trPr>
        <w:tc>
          <w:tcPr>
            <w:tcW w:w="2693" w:type="dxa"/>
          </w:tcPr>
          <w:p w:rsidR="00D77589" w:rsidRPr="0037091B" w:rsidRDefault="00D77589" w:rsidP="00065892">
            <w:pPr>
              <w:ind w:left="64"/>
              <w:rPr>
                <w:sz w:val="24"/>
                <w:szCs w:val="24"/>
              </w:rPr>
            </w:pPr>
            <w:r w:rsidRPr="0037091B">
              <w:rPr>
                <w:sz w:val="24"/>
                <w:szCs w:val="24"/>
              </w:rPr>
              <w:t>Нарушение статьи 27 «Выходные данные»  Закона «О СМИ»</w:t>
            </w:r>
          </w:p>
        </w:tc>
        <w:tc>
          <w:tcPr>
            <w:tcW w:w="1417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73"/>
              <w:jc w:val="center"/>
            </w:pPr>
            <w:r w:rsidRPr="0037091B">
              <w:t>1</w:t>
            </w:r>
            <w:r>
              <w:t>6</w:t>
            </w:r>
          </w:p>
        </w:tc>
        <w:tc>
          <w:tcPr>
            <w:tcW w:w="2410" w:type="dxa"/>
            <w:vAlign w:val="center"/>
          </w:tcPr>
          <w:p w:rsidR="00D77589" w:rsidRPr="0037091B" w:rsidRDefault="00D77589" w:rsidP="00065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7091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37091B">
              <w:t>5</w:t>
            </w:r>
            <w:r>
              <w:t>7</w:t>
            </w:r>
          </w:p>
        </w:tc>
        <w:tc>
          <w:tcPr>
            <w:tcW w:w="1702" w:type="dxa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jc w:val="both"/>
            </w:pPr>
            <w:r w:rsidRPr="0037091B">
              <w:t>Привлечены к административной ответственности по ст. 13.22 КоАП РФ</w:t>
            </w:r>
          </w:p>
        </w:tc>
      </w:tr>
      <w:tr w:rsidR="00D77589" w:rsidRPr="002B10A6" w:rsidTr="00B84212">
        <w:trPr>
          <w:jc w:val="center"/>
        </w:trPr>
        <w:tc>
          <w:tcPr>
            <w:tcW w:w="2693" w:type="dxa"/>
          </w:tcPr>
          <w:p w:rsidR="00D77589" w:rsidRPr="0037091B" w:rsidRDefault="00D77589" w:rsidP="00065892">
            <w:pPr>
              <w:ind w:left="-37"/>
              <w:rPr>
                <w:sz w:val="24"/>
                <w:szCs w:val="24"/>
              </w:rPr>
            </w:pPr>
            <w:proofErr w:type="gramStart"/>
            <w:r w:rsidRPr="0037091B">
              <w:rPr>
                <w:sz w:val="24"/>
                <w:szCs w:val="24"/>
              </w:rPr>
              <w:t xml:space="preserve">Статья 15 Закона «О СМИ» «Признание свидетельства о регистрации недействительным» (невыход в свет/эфир более одного года) </w:t>
            </w:r>
            <w:proofErr w:type="gramEnd"/>
          </w:p>
        </w:tc>
        <w:tc>
          <w:tcPr>
            <w:tcW w:w="1417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jc w:val="center"/>
            </w:pPr>
            <w:r w:rsidRPr="0037091B">
              <w:t>12</w:t>
            </w:r>
          </w:p>
        </w:tc>
        <w:tc>
          <w:tcPr>
            <w:tcW w:w="2410" w:type="dxa"/>
            <w:vAlign w:val="center"/>
          </w:tcPr>
          <w:p w:rsidR="00D77589" w:rsidRPr="0037091B" w:rsidRDefault="00D77589" w:rsidP="00065892">
            <w:pPr>
              <w:jc w:val="center"/>
              <w:rPr>
                <w:sz w:val="24"/>
                <w:szCs w:val="24"/>
              </w:rPr>
            </w:pPr>
            <w:r w:rsidRPr="00370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7091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37091B">
              <w:t>5</w:t>
            </w:r>
            <w:r>
              <w:t>7</w:t>
            </w:r>
          </w:p>
        </w:tc>
        <w:tc>
          <w:tcPr>
            <w:tcW w:w="1702" w:type="dxa"/>
          </w:tcPr>
          <w:p w:rsidR="00D77589" w:rsidRPr="0037091B" w:rsidRDefault="00D77589" w:rsidP="00065892">
            <w:pPr>
              <w:pStyle w:val="Standard"/>
              <w:tabs>
                <w:tab w:val="left" w:pos="1500"/>
              </w:tabs>
              <w:jc w:val="both"/>
            </w:pPr>
            <w:r w:rsidRPr="0037091B">
              <w:t>Регистрация признана недействительной в порядке административного судопроизводства, либо по решению учредителя</w:t>
            </w:r>
          </w:p>
        </w:tc>
      </w:tr>
    </w:tbl>
    <w:p w:rsidR="0037624A" w:rsidRDefault="0037624A"/>
    <w:sectPr w:rsidR="0037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A"/>
    <w:rsid w:val="0037624A"/>
    <w:rsid w:val="00860EAD"/>
    <w:rsid w:val="008F588B"/>
    <w:rsid w:val="00AE0CE7"/>
    <w:rsid w:val="00D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Наталья Игоревна Чечетина</cp:lastModifiedBy>
  <cp:revision>3</cp:revision>
  <dcterms:created xsi:type="dcterms:W3CDTF">2018-10-24T07:19:00Z</dcterms:created>
  <dcterms:modified xsi:type="dcterms:W3CDTF">2018-10-24T07:26:00Z</dcterms:modified>
</cp:coreProperties>
</file>