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Normal"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Пензенской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Управление)</w:t>
      </w:r>
      <w:r>
        <w:rPr>
          <w:sz w:val="28"/>
          <w:szCs w:val="28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.</w:t>
      </w:r>
    </w:p>
    <w:p>
      <w:pPr>
        <w:pStyle w:val="Normal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>
      <w:pPr>
        <w:pStyle w:val="Normal"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31.03.2022 отчетного периода в Управление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Пензенской области поступило </w:t>
      </w:r>
      <w:r>
        <w:rPr>
          <w:bCs/>
          <w:sz w:val="28"/>
          <w:szCs w:val="28"/>
        </w:rPr>
        <w:t xml:space="preserve">363 </w:t>
      </w:r>
      <w:r>
        <w:rPr>
          <w:sz w:val="28"/>
          <w:szCs w:val="28"/>
        </w:rPr>
        <w:t xml:space="preserve">обращени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(с учетом дубликатов)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5"/>
        </w:numPr>
        <w:bidi w:val="false"/>
        <w:spacing w:before="0" w:after="0" w:line="240" w:lineRule="auto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87</w:t>
      </w:r>
      <w:r>
        <w:rPr>
          <w:sz w:val="28"/>
          <w:szCs w:val="28"/>
        </w:rPr>
        <w:t xml:space="preserve"> обращений получено непосредственно от граждан;</w:t>
      </w:r>
    </w:p>
    <w:p>
      <w:pPr>
        <w:pStyle w:val="Normal"/>
        <w:numPr>
          <w:ilvl w:val="0"/>
          <w:numId w:val="5"/>
        </w:numPr>
        <w:bidi w:val="false"/>
        <w:spacing w:before="0"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 обращени</w:t>
      </w:r>
      <w:r>
        <w:rPr>
          <w:sz w:val="28"/>
          <w:szCs w:val="28"/>
          <w:rtl w:val="0"/>
          <w:lang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перенаправлено в Управление от органов государственной власти и иных организаций</w:t>
      </w:r>
      <w:r>
        <w:rPr>
          <w:sz w:val="28"/>
          <w:szCs w:val="28"/>
        </w:rPr>
        <w:t xml:space="preserve">.</w:t>
      </w:r>
    </w:p>
    <w:p>
      <w:pPr>
        <w:pStyle w:val="Normal"/>
        <w:spacing/>
        <w:ind w:left="709"/>
        <w:jc w:val="both"/>
        <w:rPr>
          <w:sz w:val="28"/>
          <w:szCs w:val="28"/>
        </w:rPr>
      </w:pPr>
    </w:p>
    <w:p>
      <w:pPr>
        <w:pStyle w:val="Normal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</w:t>
      </w:r>
      <w:r>
        <w:rPr>
          <w:sz w:val="28"/>
          <w:szCs w:val="28"/>
        </w:rPr>
        <w:tab/>
        <w:t xml:space="preserve"/>
      </w:r>
      <w:r>
        <w:rPr>
          <w:sz w:val="28"/>
          <w:szCs w:val="28"/>
        </w:rPr>
        <w:t xml:space="preserve">За отчетный период рассмотрено 322 обращений граждан.</w:t>
      </w:r>
    </w:p>
    <w:p>
      <w:pPr>
        <w:pStyle w:val="Normal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</w:t>
      </w:r>
      <w:r>
        <w:rPr>
          <w:sz w:val="28"/>
          <w:szCs w:val="28"/>
        </w:rPr>
        <w:tab/>
        <w:t xml:space="preserve"/>
      </w:r>
      <w:r>
        <w:rPr>
          <w:sz w:val="28"/>
          <w:szCs w:val="28"/>
        </w:rPr>
        <w:t xml:space="preserve">По состоянию на 31.03.2022 41 обращение находится на рассмотрении. После рассмотрения и анализа представленных документов заявителям будут даны ответы.</w:t>
      </w:r>
    </w:p>
    <w:p>
      <w:pPr>
        <w:pStyle w:val="Normal"/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/>
      </w:r>
    </w:p>
    <w:p>
      <w:pPr>
        <w:pStyle w:val="Normal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уже рассмотренных Управлением в 1 квартале 2022 года обращений:</w:t>
      </w:r>
    </w:p>
    <w:tbl>
      <w:tblPr>
        <w:tblStyle w:val="TableGrid"/>
        <w:bidiVisual w:val="0"/>
        <w:tblW w:w="10341" w:type="dxa"/>
        <w:jc w:val="left"/>
        <w:tblInd w:w="-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357"/>
        <w:gridCol w:w="1984"/>
      </w:tblGrid>
      <w:tr>
        <w:trPr>
          <w:trHeight w:val="342" w:hRule="atLeast"/>
          <w:jc w:val="left"/>
        </w:trPr>
        <w:tc>
          <w:tcPr>
            <w:tcW w:type="dxa" w:w="835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</w:t>
            </w:r>
          </w:p>
        </w:tc>
        <w:tc>
          <w:tcPr>
            <w:tcW w:type="dxa" w:w="198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</w:p>
        </w:tc>
      </w:tr>
      <w:tr>
        <w:trPr>
          <w:trHeight w:val="360" w:hRule="atLeast"/>
          <w:jc w:val="left"/>
        </w:trPr>
        <w:tc>
          <w:tcPr>
            <w:tcW w:type="dxa" w:w="835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поддержан</w:t>
            </w:r>
          </w:p>
        </w:tc>
        <w:tc>
          <w:tcPr>
            <w:tcW w:type="dxa" w:w="19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</w:p>
        </w:tc>
      </w:tr>
      <w:tr>
        <w:trPr>
          <w:trHeight w:val="342" w:hRule="atLeast"/>
          <w:jc w:val="left"/>
        </w:trPr>
        <w:tc>
          <w:tcPr>
            <w:tcW w:type="dxa" w:w="835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Разъяснено</w:t>
            </w:r>
          </w:p>
        </w:tc>
        <w:tc>
          <w:tcPr>
            <w:tcW w:type="dxa" w:w="19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</w:t>
            </w:r>
          </w:p>
        </w:tc>
      </w:tr>
      <w:tr>
        <w:trPr>
          <w:trHeight w:val="439" w:hRule="atLeast"/>
          <w:jc w:val="left"/>
        </w:trPr>
        <w:tc>
          <w:tcPr>
            <w:tcW w:type="dxa" w:w="835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Переслано по принадлежности</w:t>
            </w:r>
          </w:p>
        </w:tc>
        <w:tc>
          <w:tcPr>
            <w:tcW w:type="dxa" w:w="19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</w:p>
        </w:tc>
      </w:tr>
      <w:tr>
        <w:trPr>
          <w:trHeight w:val="360" w:hRule="atLeast"/>
          <w:jc w:val="left"/>
        </w:trPr>
        <w:tc>
          <w:tcPr>
            <w:tcW w:type="dxa" w:w="835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в ЦА</w:t>
            </w:r>
          </w:p>
        </w:tc>
        <w:tc>
          <w:tcPr>
            <w:tcW w:type="dxa" w:w="19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</w:tr>
    </w:tbl>
    <w:p>
      <w:pPr>
        <w:pStyle w:val="Normal"/>
        <w:spacing/>
        <w:ind w:firstLine="720"/>
        <w:jc w:val="both"/>
        <w:rPr>
          <w:sz w:val="28"/>
          <w:szCs w:val="28"/>
          <w:highlight w:val="yellow"/>
        </w:rPr>
      </w:pPr>
    </w:p>
    <w:p>
      <w:pPr>
        <w:pStyle w:val="Normal"/>
        <w:spacing/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>
      <w:pPr>
        <w:pStyle w:val="Normal"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обращений, поступивших за отчетный период, относятся к следующим вопросам:</w:t>
      </w:r>
    </w:p>
    <w:p>
      <w:pPr>
        <w:pStyle w:val="Normal"/>
        <w:numPr>
          <w:ilvl w:val="0"/>
          <w:numId w:val="6"/>
        </w:numPr>
        <w:bidi w:val="false"/>
        <w:spacing w:before="0" w:after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и информационные технологии (48,2%); </w:t>
      </w:r>
    </w:p>
    <w:p>
      <w:pPr>
        <w:pStyle w:val="Normal"/>
        <w:numPr>
          <w:ilvl w:val="0"/>
          <w:numId w:val="6"/>
        </w:numPr>
        <w:bidi w:val="false"/>
        <w:spacing w:before="0" w:after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 связи (22,5%).</w:t>
      </w:r>
    </w:p>
    <w:p>
      <w:pPr>
        <w:pStyle w:val="Normal"/>
        <w:spacing/>
        <w:ind w:firstLine="720"/>
        <w:jc w:val="both"/>
        <w:rPr>
          <w:sz w:val="28"/>
          <w:szCs w:val="28"/>
          <w:highlight w:val="yellow"/>
        </w:rPr>
      </w:pPr>
    </w:p>
    <w:p>
      <w:pPr>
        <w:pStyle w:val="Normal"/>
        <w:spacing/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t xml:space="preserve">Анализ поступивших обращений по тематике</w:t>
      </w:r>
    </w:p>
    <w:p>
      <w:pPr>
        <w:pStyle w:val="Normal"/>
        <w:spacing/>
        <w:ind w:left="6372" w:firstLine="708"/>
        <w:jc w:val="right"/>
        <w:rPr>
          <w:bCs/>
          <w:i/>
          <w:iCs/>
        </w:rPr>
      </w:pPr>
    </w:p>
    <w:tbl>
      <w:tblPr>
        <w:tblStyle w:val="TableGrid"/>
        <w:bidiVisual w:val="0"/>
        <w:tblW w:w="9484" w:type="dxa"/>
        <w:jc w:val="center"/>
        <w:tblInd w:w="-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600"/>
        <w:gridCol w:w="1884"/>
      </w:tblGrid>
      <w:tr>
        <w:trPr>
          <w:trHeight w:val="522" w:hRule="atLeast"/>
          <w:jc w:val="center"/>
        </w:trPr>
        <w:tc>
          <w:tcPr>
            <w:tcW w:type="dxa" w:w="76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Тематика поступивших обращений</w:t>
            </w:r>
          </w:p>
        </w:tc>
        <w:tc>
          <w:tcPr>
            <w:tcW w:type="dxa" w:w="188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 квартал 2022 год</w:t>
            </w:r>
            <w:r>
              <w:rPr>
                <w:rtl w:val="0"/>
                <w:lang/>
              </w:rPr>
              <w:t xml:space="preserve">а</w:t>
            </w:r>
          </w:p>
        </w:tc>
      </w:tr>
      <w:tr>
        <w:trPr>
          <w:trHeight w:val="4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480"/>
              <w:jc w:val="center"/>
              <w:rPr/>
            </w:pPr>
            <w:r>
              <w:rPr/>
              <w:t xml:space="preserve">Вопросы административного характера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53</w:t>
            </w:r>
          </w:p>
        </w:tc>
      </w:tr>
      <w:tr>
        <w:trPr>
          <w:trHeight w:val="373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</w:t>
            </w:r>
            <w:r>
              <w:rPr/>
              <w:t xml:space="preserve"> не относящиеся к деятельности </w:t>
            </w:r>
            <w:r>
              <w:rPr/>
              <w:t xml:space="preserve">Роскомнадзора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41</w:t>
            </w:r>
          </w:p>
        </w:tc>
      </w:tr>
      <w:tr>
        <w:trPr>
          <w:trHeight w:val="373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правового характера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trHeight w:val="43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Обращение, не содержащее сути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8</w:t>
            </w:r>
          </w:p>
        </w:tc>
      </w:tr>
      <w:tr>
        <w:trPr>
          <w:trHeight w:val="4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Отзыв обращения, заявления, жалобы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3</w:t>
            </w:r>
          </w:p>
        </w:tc>
      </w:tr>
      <w:tr>
        <w:trPr>
          <w:trHeight w:val="49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480"/>
              <w:jc w:val="center"/>
              <w:rPr/>
            </w:pPr>
            <w:r>
              <w:rPr/>
              <w:t xml:space="preserve">Интернет и информационные технологии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175</w:t>
            </w:r>
          </w:p>
        </w:tc>
      </w:tr>
      <w:tr>
        <w:trPr>
          <w:trHeight w:val="91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172</w:t>
            </w:r>
          </w:p>
        </w:tc>
      </w:tr>
      <w:tr>
        <w:trPr>
          <w:trHeight w:val="97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2</w:t>
            </w:r>
          </w:p>
        </w:tc>
      </w:tr>
      <w:tr>
        <w:trPr>
          <w:trHeight w:val="4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Требования о разблокировке сайтов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trHeight w:val="40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480"/>
              <w:jc w:val="center"/>
              <w:rPr/>
            </w:pPr>
            <w:r>
              <w:rPr/>
              <w:t xml:space="preserve">Персональные данные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82</w:t>
            </w:r>
          </w:p>
        </w:tc>
      </w:tr>
      <w:tr>
        <w:trPr>
          <w:trHeight w:val="49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Обжалование в ТО ранее данных ответов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43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Досыл документов по запросу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4</w:t>
            </w:r>
          </w:p>
        </w:tc>
      </w:tr>
      <w:tr>
        <w:trPr>
          <w:trHeight w:val="4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защиты персональных данных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76</w:t>
            </w:r>
          </w:p>
        </w:tc>
      </w:tr>
      <w:tr>
        <w:trPr>
          <w:trHeight w:val="66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по реестру операторов, обрабатывающих персональные данные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52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Разъяснение вопросов по применению 152-ФЗ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2</w:t>
            </w:r>
          </w:p>
        </w:tc>
      </w:tr>
      <w:tr>
        <w:trPr>
          <w:trHeight w:val="30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480"/>
              <w:jc w:val="center"/>
              <w:rPr/>
            </w:pPr>
            <w:r>
              <w:rPr/>
              <w:t xml:space="preserve">Связь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47</w:t>
            </w:r>
          </w:p>
        </w:tc>
      </w:tr>
      <w:tr>
        <w:trPr>
          <w:trHeight w:val="64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по пересылке, доставке и розыску почтовых отправлений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6</w:t>
            </w:r>
          </w:p>
        </w:tc>
      </w:tr>
      <w:tr>
        <w:trPr>
          <w:trHeight w:val="64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организации работы почтовых отделений и их сотрудников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trHeight w:val="67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Разъяснение вопросов по разрешительной деятельности и лицензированию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49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качества оказания услуг связи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9</w:t>
            </w:r>
          </w:p>
        </w:tc>
      </w:tr>
      <w:tr>
        <w:trPr>
          <w:trHeight w:val="4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960"/>
              <w:jc w:val="center"/>
              <w:rPr/>
            </w:pPr>
            <w:r>
              <w:rPr/>
              <w:t xml:space="preserve">Вопросы предоставления услуг связи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9</w:t>
            </w:r>
          </w:p>
        </w:tc>
      </w:tr>
      <w:tr>
        <w:trPr>
          <w:trHeight w:val="60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960"/>
              <w:jc w:val="center"/>
              <w:rPr/>
            </w:pPr>
            <w:r>
              <w:rPr/>
              <w:t xml:space="preserve">Жалобы на операторов:  </w:t>
            </w:r>
            <w:r>
              <w:rPr/>
              <w:t xml:space="preserve">Вымпелком</w:t>
            </w:r>
            <w:r>
              <w:rPr/>
              <w:t xml:space="preserve"> (Билайн), МТС, Мегафон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7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Непричастность абонента к договору, по которому ему выставляется счет на оплату услуг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90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102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64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Отсутствие связи (перерывы в связи, отсутствие покрытия и т.д.)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78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Ошибочные действия абонента при пополнении баланса с использованием платежных систем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205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Предоставление контент-услуг без предупреждения о размере оплаты, списания денежных средств за </w:t>
            </w:r>
            <w:r>
              <w:rPr/>
              <w:t xml:space="preserve">непредоставленные</w:t>
            </w:r>
            <w:r>
              <w:rPr/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154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1200"/>
              <w:jc w:val="center"/>
              <w:rPr/>
            </w:pPr>
            <w:r>
              <w:rPr/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0</w:t>
            </w:r>
          </w:p>
        </w:tc>
      </w:tr>
      <w:tr>
        <w:trPr>
          <w:trHeight w:val="163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trHeight w:val="43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Досыл документов по запросу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4</w:t>
            </w:r>
          </w:p>
        </w:tc>
      </w:tr>
      <w:tr>
        <w:trPr>
          <w:trHeight w:val="439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Другие вопросы в сфере связи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26</w:t>
            </w:r>
          </w:p>
        </w:tc>
      </w:tr>
      <w:tr>
        <w:trPr>
          <w:trHeight w:val="30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480"/>
              <w:jc w:val="center"/>
              <w:rPr/>
            </w:pPr>
            <w:r>
              <w:rPr/>
              <w:t xml:space="preserve">СМИ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6</w:t>
            </w:r>
          </w:p>
        </w:tc>
      </w:tr>
      <w:tr>
        <w:trPr>
          <w:trHeight w:val="540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организации деятельности редакций СМИ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trHeight w:val="762" w:hRule="atLeast"/>
          <w:jc w:val="center"/>
        </w:trPr>
        <w:tc>
          <w:tcPr>
            <w:tcW w:type="dxa" w:w="760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ind w:firstLine="720"/>
              <w:jc w:val="center"/>
              <w:rPr/>
            </w:pPr>
            <w:r>
              <w:rPr/>
              <w:t xml:space="preserve">Вопросы по содержанию материалов, публикуемых в СМИ, в </w:t>
            </w:r>
            <w:r>
              <w:rPr/>
              <w:t xml:space="preserve">т.ч</w:t>
            </w:r>
            <w:r>
              <w:rPr/>
              <w:t xml:space="preserve">. телевизионных передач</w:t>
            </w:r>
          </w:p>
        </w:tc>
        <w:tc>
          <w:tcPr>
            <w:tcW w:type="dxa" w:w="188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5</w:t>
            </w:r>
          </w:p>
        </w:tc>
      </w:tr>
    </w:tbl>
    <w:p>
      <w:pPr>
        <w:pStyle w:val="Normal"/>
        <w:spacing/>
        <w:ind w:firstLine="720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>
      <w:pPr>
        <w:pStyle w:val="Normal"/>
        <w:spacing/>
        <w:ind w:left="6372" w:firstLine="708"/>
        <w:jc w:val="center"/>
        <w:rPr>
          <w:bCs/>
          <w:i/>
          <w:iCs/>
          <w:highlight w:val="yellow"/>
        </w:rPr>
      </w:pPr>
    </w:p>
    <w:p>
      <w:pPr>
        <w:pStyle w:val="Normal"/>
        <w:spacing/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>
      <w:pPr>
        <w:pStyle w:val="Normal"/>
        <w:spacing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 сфере деятельности по защите прав субъектов персональных данных</w:t>
      </w:r>
    </w:p>
    <w:p>
      <w:pPr>
        <w:pStyle w:val="Standard"/>
        <w:pStyle w:val="Standard"/>
        <w:spacing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highlight w:val="yellow"/>
        </w:rPr>
      </w:pPr>
    </w:p>
    <w:p>
      <w:pPr>
        <w:pStyle w:val="Normal"/>
        <w:spacing/>
        <w:rPr>
          <w:rFonts w:cs="WenQuanYi Zen Hei Sharp"/>
          <w:bCs/>
          <w:iCs/>
          <w:sz w:val="28"/>
          <w:szCs w:val="28"/>
          <w:lang w:eastAsia="zh-CN" w:bidi="hi-IN"/>
        </w:rPr>
      </w:pP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- нарушение требований конфиденциальности при обработке персональных данных: </w:t>
      </w:r>
    </w:p>
    <w:p>
      <w:pPr>
        <w:pStyle w:val="Normal"/>
        <w:spacing/>
        <w:rPr>
          <w:rFonts w:cs="WenQuanYi Zen Hei Sharp"/>
          <w:bCs/>
          <w:iCs/>
          <w:sz w:val="28"/>
          <w:szCs w:val="28"/>
          <w:lang w:eastAsia="zh-CN" w:bidi="hi-IN"/>
        </w:rPr>
      </w:pP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- в сфере ЖКХ: жалобы на незаконное получение персональных данных граждан при выставлении счетов по вывозу ТКО (ТБО)</w:t>
      </w: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 ;</w:t>
      </w:r>
    </w:p>
    <w:p>
      <w:pPr>
        <w:pStyle w:val="Normal"/>
        <w:spacing/>
        <w:rPr>
          <w:rFonts w:cs="WenQuanYi Zen Hei Sharp"/>
          <w:bCs/>
          <w:iCs/>
          <w:sz w:val="28"/>
          <w:szCs w:val="28"/>
          <w:lang w:eastAsia="zh-CN" w:bidi="hi-IN"/>
        </w:rPr>
      </w:pP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- распространение персональных данных граждан на интернет-сайтах;</w:t>
      </w:r>
    </w:p>
    <w:p>
      <w:pPr>
        <w:pStyle w:val="Normal"/>
        <w:spacing/>
        <w:rPr>
          <w:rFonts w:cs="WenQuanYi Zen Hei Sharp"/>
          <w:bCs/>
          <w:iCs/>
          <w:sz w:val="28"/>
          <w:szCs w:val="28"/>
          <w:lang w:eastAsia="zh-CN" w:bidi="hi-IN"/>
        </w:rPr>
      </w:pP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- распространение персональных данных Банками </w:t>
      </w: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коллекторским</w:t>
      </w:r>
      <w:r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агентствам.</w:t>
      </w:r>
    </w:p>
    <w:p>
      <w:pPr>
        <w:pStyle w:val="Normal"/>
        <w:spacing/>
        <w:rPr>
          <w:sz w:val="28"/>
          <w:szCs w:val="28"/>
          <w:highlight w:val="yellow"/>
        </w:rPr>
      </w:pPr>
    </w:p>
    <w:p>
      <w:pPr>
        <w:pStyle w:val="Безинтервала1"/>
        <w:pStyle w:val="Без интервала1"/>
        <w:spacing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 сфере связи</w:t>
      </w:r>
    </w:p>
    <w:p>
      <w:pPr>
        <w:pStyle w:val="Безинтервала1"/>
        <w:pStyle w:val="Без интервала1"/>
        <w:spacing/>
        <w:ind w:firstLine="709"/>
        <w:jc w:val="both"/>
        <w:rPr>
          <w:sz w:val="28"/>
          <w:szCs w:val="28"/>
        </w:rPr>
      </w:pPr>
    </w:p>
    <w:p>
      <w:pPr>
        <w:pStyle w:val="Normal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поступивших обращений за отчетный 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.</w:t>
      </w:r>
    </w:p>
    <w:p>
      <w:pPr>
        <w:pStyle w:val="Безинтервала1"/>
        <w:pStyle w:val="Без интервала1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 которым обращались граждане и юридические лица в течение 1 квартала 2022 года:</w:t>
      </w:r>
    </w:p>
    <w:p>
      <w:pPr>
        <w:pStyle w:val="Безинтервала1"/>
        <w:pStyle w:val="Без интервала1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обращений по вопросам качества оказания услуг связи, что составляет 19,15 % от общего числа обращений;</w:t>
      </w:r>
    </w:p>
    <w:p>
      <w:pPr>
        <w:pStyle w:val="Безинтервала1"/>
        <w:pStyle w:val="Без интервала1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обращени</w:t>
      </w:r>
      <w:r>
        <w:rPr>
          <w:sz w:val="28"/>
          <w:szCs w:val="28"/>
          <w:rtl w:val="0"/>
          <w:lang/>
        </w:rPr>
        <w:t xml:space="preserve">й</w:t>
      </w:r>
      <w:r>
        <w:rPr>
          <w:sz w:val="28"/>
          <w:szCs w:val="28"/>
        </w:rPr>
        <w:t xml:space="preserve"> по вопросам пересылки, доставки и розыску почтовых отправлений, что составляет 12,76 % от общего числа обращений.</w:t>
      </w:r>
    </w:p>
    <w:p>
      <w:pPr>
        <w:pStyle w:val="Normal"/>
        <w:spacing/>
        <w:rPr>
          <w:bCs/>
          <w:i/>
          <w:iCs/>
          <w:sz w:val="28"/>
          <w:szCs w:val="28"/>
          <w:highlight w:val="yellow"/>
          <w:u w:val="single"/>
        </w:rPr>
      </w:pPr>
    </w:p>
    <w:p>
      <w:pPr>
        <w:pStyle w:val="Normal"/>
        <w:spacing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 сфере массовых коммуникаций</w:t>
      </w:r>
    </w:p>
    <w:p>
      <w:pPr>
        <w:pStyle w:val="Normal"/>
        <w:spacing/>
        <w:rPr>
          <w:b/>
          <w:bCs/>
          <w:i/>
          <w:iCs/>
          <w:sz w:val="28"/>
          <w:szCs w:val="28"/>
          <w:highlight w:val="yellow"/>
          <w:u w:val="single"/>
        </w:rPr>
      </w:pPr>
    </w:p>
    <w:p>
      <w:pPr>
        <w:pStyle w:val="Normal"/>
        <w:spacing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Общее количество поступивших обращений за отчетный период </w:t>
      </w:r>
      <w:r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181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pacing/>
        <w:rPr>
          <w:sz w:val="28"/>
          <w:szCs w:val="28"/>
          <w:highlight w:val="yellow"/>
        </w:rPr>
      </w:pPr>
    </w:p>
    <w:p>
      <w:pPr>
        <w:pStyle w:val="Normal"/>
        <w:spacing/>
        <w:jc w:val="center"/>
        <w:rPr>
          <w:szCs w:val="28"/>
        </w:rPr>
      </w:pPr>
      <w:r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обращений отражена в таблице</w:t>
      </w:r>
    </w:p>
    <w:tbl>
      <w:tblPr>
        <w:tblStyle w:val="TableGrid"/>
        <w:bidiVisual w:val="0"/>
        <w:tblW w:w="4722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448"/>
        <w:gridCol w:w="2603"/>
      </w:tblGrid>
      <w:tr>
        <w:trPr>
          <w:tblHeader/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Тема обращения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jc w:val="center"/>
              <w:rPr>
                <w:szCs w:val="28"/>
              </w:rPr>
            </w:pPr>
            <w:r>
              <w:rPr/>
              <w:t xml:space="preserve">1 квартал </w:t>
            </w:r>
            <w:r>
              <w:rPr/>
              <w:t xml:space="preserve">202</w:t>
            </w:r>
            <w:r>
              <w:rPr/>
              <w:t xml:space="preserve">2</w:t>
            </w:r>
            <w:r>
              <w:rPr/>
              <w:t xml:space="preserve"> год</w:t>
            </w:r>
            <w:r>
              <w:rPr/>
              <w:t xml:space="preserve">а</w:t>
            </w:r>
          </w:p>
        </w:tc>
      </w:tr>
      <w:tr>
        <w:trPr>
          <w:trHeight w:val="373" w:hRule="atLeast"/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СМИ: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6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Вопросы организации деятельности редакций СМИ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Вопросы по содержанию материалов, публикуемых в СМИ, в т.ч. телевизионных передач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5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ind w:firstLine="480"/>
              <w:rPr/>
            </w:pPr>
            <w:r>
              <w:rPr/>
              <w:t xml:space="preserve">Интернет и информационные технологии</w:t>
            </w:r>
            <w:r>
              <w:rPr/>
              <w:t xml:space="preserve">: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175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172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2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rPr/>
            </w:pPr>
            <w:r>
              <w:rPr/>
              <w:t xml:space="preserve">Требования о разблокировке сайтов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</w:t>
            </w:r>
          </w:p>
        </w:tc>
      </w:tr>
      <w:tr>
        <w:trPr>
          <w:jc w:val="left"/>
        </w:trPr>
        <w:tc>
          <w:tcPr>
            <w:tcW w:type="pct" w:w="35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rPr/>
            </w:pPr>
            <w:r>
              <w:rPr/>
              <w:t xml:space="preserve">Итого:</w:t>
            </w:r>
          </w:p>
        </w:tc>
        <w:tc>
          <w:tcPr>
            <w:tcW w:type="pct" w:w="14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/>
              <w:jc w:val="center"/>
              <w:rPr/>
            </w:pPr>
            <w:r>
              <w:rPr/>
              <w:t xml:space="preserve">181</w:t>
            </w:r>
          </w:p>
        </w:tc>
      </w:tr>
    </w:tbl>
    <w:p>
      <w:pPr>
        <w:pStyle w:val="Normal"/>
        <w:spacing/>
        <w:rPr/>
      </w:pPr>
    </w:p>
    <w:sectPr>
      <w:type w:val="nextPage"/>
      <w:pgSz w:w="11906" w:h="16838"/>
      <w:pgMar w:top="1134" w:right="850" w:bottom="1134" w:left="1701" w:header="708" w:footer="708" w:gutter="0"/>
      <w:pgBorders/>
      <w:pgNumType w:fmt="decimal"/>
      <w:cols w:equalWidth="1" w:space="72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B5A8"/>
    <w:lvl w:ilvl="0">
      <w:start w:val="0"/>
      <w:numFmt w:val="bullet"/>
      <w:suff w:val="tab"/>
      <w:lvlText w:val=""/>
      <w:pPr>
        <w:spacing/>
        <w:ind w:left="360" w:hanging="360"/>
      </w:pPr>
      <w:rPr>
        <w:rFonts w:ascii="Symbol" w:hAnsi="Symbol" w:eastAsia="Symbol" w:cs="Symbol"/>
      </w:rPr>
    </w:lvl>
    <w:lvl w:ilvl="1">
      <w:start w:val="0"/>
      <w:numFmt w:val="bullet"/>
      <w:suff w:val="tab"/>
      <w:lvlText w:val=""/>
      <w:pPr>
        <w:spacing/>
        <w:ind w:left="1440" w:hanging="360"/>
      </w:pPr>
      <w:rPr>
        <w:rFonts w:ascii="Wingdings" w:hAnsi="Wingdings" w:eastAsia="Wingdings" w:cs="Wingdings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1">
    <w:nsid w:val="635E1883"/>
    <w:lvl w:ilvl="0">
      <w:start w:val="0"/>
      <w:numFmt w:val="bullet"/>
      <w:suff w:val="tab"/>
      <w:lvlText w:val=""/>
      <w:pPr>
        <w:spacing/>
        <w:ind w:left="928" w:hanging="360"/>
      </w:pPr>
      <w:rPr>
        <w:rFonts w:ascii="Symbol" w:hAnsi="Symbol" w:eastAsia="Symbol" w:cs="Symbol"/>
      </w:rPr>
    </w:lvl>
    <w:lvl w:ilvl="1">
      <w:start w:val="0"/>
      <w:numFmt w:val="bullet"/>
      <w:suff w:val="tab"/>
      <w:lvlText w:val="o"/>
      <w:pPr>
        <w:spacing/>
        <w:ind w:left="2019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739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3459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4179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899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619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6339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7059" w:hanging="360"/>
      </w:pPr>
      <w:rPr>
        <w:rFonts w:ascii="Wingdings" w:hAnsi="Wingdings" w:eastAsia="Wingdings" w:cs="Wingdings"/>
      </w:rPr>
    </w:lvl>
  </w:abstractNum>
  <w:abstractNum w:abstractNumId="2">
    <w:nsid w:val="5E951ABE"/>
    <w:lvl w:ilvl="0">
      <w:start w:val="0"/>
      <w:numFmt w:val="bullet"/>
      <w:suff w:val="tab"/>
      <w:lvlText w:val=""/>
      <w:pPr>
        <w:spacing/>
        <w:ind w:left="360" w:hanging="360"/>
      </w:pPr>
      <w:rPr>
        <w:rFonts w:ascii="Symbol" w:hAnsi="Symbol" w:eastAsia="Symbol" w:cs="Symbol"/>
      </w:rPr>
    </w:lvl>
    <w:lvl w:ilvl="1">
      <w:start w:val="0"/>
      <w:numFmt w:val="bullet"/>
      <w:suff w:val="tab"/>
      <w:lvlText w:val=""/>
      <w:pPr>
        <w:spacing/>
        <w:ind w:left="1451" w:hanging="360"/>
      </w:pPr>
      <w:rPr>
        <w:rFonts w:ascii="Wingdings" w:hAnsi="Wingdings" w:eastAsia="Wingdings" w:cs="Wingdings"/>
      </w:rPr>
    </w:lvl>
    <w:lvl w:ilvl="2">
      <w:start w:val="0"/>
      <w:numFmt w:val="bullet"/>
      <w:suff w:val="tab"/>
      <w:lvlText w:val=""/>
      <w:pPr>
        <w:spacing/>
        <w:ind w:left="2171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91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11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31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51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71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91" w:hanging="360"/>
      </w:pPr>
      <w:rPr>
        <w:rFonts w:ascii="Wingdings" w:hAnsi="Wingdings" w:eastAsia="Wingdings" w:cs="Wingdings"/>
      </w:rPr>
    </w:lvl>
  </w:abstractNum>
  <w:abstractNum w:abstractNumId="3">
    <w:nsid w:val="576A1F79"/>
    <w:lvl w:ilvl="0">
      <w:start w:val="0"/>
      <w:numFmt w:val="bullet"/>
      <w:suff w:val="tab"/>
      <w:lvlText w:val=""/>
      <w:pPr>
        <w:spacing/>
        <w:ind w:left="1608" w:hanging="360"/>
      </w:pPr>
      <w:rPr>
        <w:rFonts w:ascii="Symbol" w:hAnsi="Symbol" w:eastAsia="Symbol" w:cs="Symbol"/>
      </w:rPr>
    </w:lvl>
    <w:lvl w:ilvl="1">
      <w:start w:val="0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style w:type="numbering" w:default="1" w:styleId="NoList">
    <w:name w:val="No List"/>
    <w:uiPriority w:val="99"/>
    <w:semiHidden/>
    <w:unhideWhenUsed/>
  </w:style>
  <w:style w:type="character" w:styleId="DefaultParagraphFont" w:default="1">
    <w:name w:val="Default Paragraph Font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="Calibri Light" w:hAnsi="Calibri Light" w:eastAsia="Calibri Light" w:cs="Calibri Light"/>
      <w:color w:val="2F5496"/>
      <w:sz w:val="24"/>
    </w:rPr>
  </w:style>
  <w:style w:type="character" w:styleId="Heading2Char" w:customStyle="1">
    <w:name w:val="Heading 2 Char"/>
    <w:basedOn w:val="DefaultParagraphFont"/>
    <w:link w:val="Heading2"/>
    <w:rPr>
      <w:rFonts w:ascii="Calibri Light" w:hAnsi="Calibri Light" w:eastAsia="Calibri Light" w:cs="Calibri Light"/>
      <w:color w:val="2F5496"/>
      <w:sz w:val="20"/>
    </w:rPr>
  </w:style>
  <w:style w:type="character" w:styleId="Heading3Char" w:customStyle="1">
    <w:name w:val="Heading 3 Char"/>
    <w:basedOn w:val="DefaultParagraphFont"/>
    <w:link w:val="Heading3"/>
    <w:rPr>
      <w:rFonts w:ascii="Calibri Light" w:hAnsi="Calibri Light" w:eastAsia="Calibri Light" w:cs="Calibri Light"/>
      <w:color w:val="1F3763"/>
      <w:sz w:val="18"/>
    </w:rPr>
  </w:style>
  <w:style w:type="character" w:styleId="Heading4Char" w:customStyle="1">
    <w:name w:val="Heading 4 Char"/>
    <w:basedOn w:val="DefaultParagraphFont"/>
    <w:link w:val="Heading4"/>
    <w:rPr>
      <w:rFonts w:ascii="Calibri Light" w:hAnsi="Calibri Light" w:eastAsia="Calibri Light" w:cs="Calibri Light"/>
      <w:i/>
      <w:color w:val="2F5496"/>
      <w:sz w:val="18"/>
    </w:rPr>
  </w:style>
  <w:style w:type="character" w:styleId="Heading5Char" w:customStyle="1">
    <w:name w:val="Heading 5 Char"/>
    <w:basedOn w:val="DefaultParagraphFont"/>
    <w:link w:val="Heading5"/>
    <w:rPr>
      <w:rFonts w:ascii="Calibri Light" w:hAnsi="Calibri Light" w:eastAsia="Calibri Light" w:cs="Calibri Light"/>
      <w:i w:val="0"/>
      <w:color w:val="2F5496"/>
      <w:sz w:val="18"/>
    </w:rPr>
  </w:style>
  <w:style w:type="character" w:styleId="Heading6Char" w:customStyle="1">
    <w:name w:val="Heading 6 Char"/>
    <w:basedOn w:val="DefaultParagraphFont"/>
    <w:link w:val="Heading6"/>
    <w:rPr>
      <w:rFonts w:ascii="Calibri Light" w:hAnsi="Calibri Light" w:eastAsia="Calibri Light" w:cs="Calibri Light"/>
      <w:i w:val="0"/>
      <w:color w:val="1F3763"/>
      <w:sz w:val="18"/>
    </w:rPr>
  </w:style>
  <w:style w:type="paragraph" w:styleId="Normal" w:default="1">
    <w:name w:val="Normal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pPr>
      <w:spacing w:before="180" w:line="240" w:lineRule="auto"/>
      <w:outlineLvl w:val="0"/>
    </w:pPr>
    <w:rPr>
      <w:rFonts w:ascii="Calibri Light" w:hAnsi="Calibri Light" w:eastAsia="Calibri Light" w:cs="Calibri Light"/>
      <w:color w:val="2F5496"/>
      <w:sz w:val="24"/>
    </w:rPr>
  </w:style>
  <w:style w:type="paragraph" w:styleId="Heading2">
    <w:name w:val="Heading 2"/>
    <w:basedOn w:val="Normal"/>
    <w:next w:val="Normal"/>
    <w:link w:val="Heading2Char"/>
    <w:pPr>
      <w:bidi w:val="false"/>
      <w:spacing w:before="30" w:after="0" w:line="240" w:lineRule="auto"/>
      <w:ind w:left="0" w:right="0" w:firstLine="0"/>
      <w:jc w:val="left"/>
      <w:outlineLvl w:val="1"/>
    </w:pPr>
    <w:rPr>
      <w:rFonts w:ascii="Calibri Light" w:hAnsi="Calibri Light" w:eastAsia="Calibri Light" w:cs="Calibri Light"/>
      <w:color w:val="2F5496"/>
      <w:sz w:val="20"/>
    </w:rPr>
  </w:style>
  <w:style w:type="paragraph" w:styleId="Heading3">
    <w:name w:val="Heading 3"/>
    <w:basedOn w:val="Normal"/>
    <w:next w:val="Normal"/>
    <w:link w:val="Heading3Char"/>
    <w:pPr>
      <w:bidi w:val="false"/>
      <w:spacing w:before="30" w:after="0" w:line="240" w:lineRule="auto"/>
      <w:ind w:left="0" w:right="0" w:firstLine="0"/>
      <w:jc w:val="left"/>
      <w:outlineLvl w:val="2"/>
    </w:pPr>
    <w:rPr>
      <w:rFonts w:ascii="Calibri Light" w:hAnsi="Calibri Light" w:eastAsia="Calibri Light" w:cs="Calibri Light"/>
      <w:color w:val="1F3763"/>
      <w:sz w:val="18"/>
    </w:rPr>
  </w:style>
  <w:style w:type="paragraph" w:styleId="Heading4">
    <w:name w:val="Heading 4"/>
    <w:basedOn w:val="Normal"/>
    <w:next w:val="Normal"/>
    <w:link w:val="Heading4Char"/>
    <w:pPr>
      <w:bidi w:val="false"/>
      <w:spacing w:before="30" w:after="0" w:line="240" w:lineRule="auto"/>
      <w:ind w:left="0" w:right="0" w:firstLine="0"/>
      <w:jc w:val="left"/>
      <w:outlineLvl w:val="3"/>
    </w:pPr>
    <w:rPr>
      <w:rFonts w:ascii="Calibri Light" w:hAnsi="Calibri Light" w:eastAsia="Calibri Light" w:cs="Calibri Light"/>
      <w:i/>
      <w:color w:val="2F5496"/>
      <w:sz w:val="18"/>
    </w:rPr>
  </w:style>
  <w:style w:type="paragraph" w:styleId="Heading5">
    <w:name w:val="Heading 5"/>
    <w:basedOn w:val="Normal"/>
    <w:next w:val="Normal"/>
    <w:link w:val="Heading5Char"/>
    <w:pPr>
      <w:bidi w:val="false"/>
      <w:spacing w:before="30" w:after="0" w:line="240" w:lineRule="auto"/>
      <w:ind w:left="0" w:right="0" w:firstLine="0"/>
      <w:jc w:val="left"/>
      <w:outlineLvl w:val="4"/>
    </w:pPr>
    <w:rPr>
      <w:rFonts w:ascii="Calibri Light" w:hAnsi="Calibri Light" w:eastAsia="Calibri Light" w:cs="Calibri Light"/>
      <w:i w:val="0"/>
      <w:color w:val="2F5496"/>
      <w:sz w:val="18"/>
    </w:rPr>
  </w:style>
  <w:style w:type="paragraph" w:styleId="Heading6">
    <w:name w:val="Heading 6"/>
    <w:basedOn w:val="Normal"/>
    <w:next w:val="Normal"/>
    <w:link w:val="Heading6Char"/>
    <w:pPr>
      <w:bidi w:val="false"/>
      <w:spacing w:before="30" w:after="0" w:line="240" w:lineRule="auto"/>
      <w:ind w:left="0" w:right="0" w:firstLine="0"/>
      <w:jc w:val="left"/>
      <w:outlineLvl w:val="5"/>
    </w:pPr>
    <w:rPr>
      <w:rFonts w:ascii="Calibri Light" w:hAnsi="Calibri Light" w:eastAsia="Calibri Light" w:cs="Calibri Light"/>
      <w:i w:val="0"/>
      <w:color w:val="2F5496"/>
      <w:sz w:val="18"/>
    </w:rPr>
  </w:style>
  <w:style w:type="character" w:styleId="Hyperlink">
    <w:name w:val="Hyperlink"/>
    <w:basedOn w:val="DefaultParagraphFont"/>
    <w:rPr/>
  </w:style>
  <w:style w:type="paragraph" w:styleId="Абзацсписка1" w:customStyle="1">
    <w:name w:val="Абзац списка1"/>
    <w:basedOn w:val="Normal"/>
    <w:pPr>
      <w:spacing/>
      <w:ind w:left="720"/>
    </w:pPr>
    <w:rPr>
      <w:sz w:val="20"/>
      <w:szCs w:val="20"/>
    </w:rPr>
  </w:style>
  <w:style w:type="paragraph" w:styleId="Безинтервала1" w:customStyle="1">
    <w:name w:val="Без интервала1"/>
    <w:basedOn w:val="Normal"/>
    <w:pPr>
      <w:spacing/>
    </w:pPr>
    <w:rPr>
      <w:rFonts w:cs="Calibri"/>
    </w:rPr>
  </w:style>
  <w:style w:type="paragraph" w:styleId="Standard" w:customStyle="1">
    <w:name w:val="Standard"/>
    <w:basedOn w:val="Normal"/>
    <w:pPr>
      <w:spacing w:after="0" w:line="240" w:lineRule="auto"/>
    </w:pPr>
    <w:rPr>
      <w:rFonts w:ascii="Liberation Serif" w:hAnsi="Liberation Serif" w:eastAsia="Liberation Serif" w:cs="WenQuanYi Zen Hei Sharp"/>
      <w:sz w:val="24"/>
      <w:szCs w:val="24"/>
      <w:lang w:eastAsia="zh-CN" w:bidi="hi-IN"/>
    </w:rPr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