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DA41C7">
        <w:rPr>
          <w:b/>
          <w:sz w:val="28"/>
          <w:szCs w:val="28"/>
        </w:rPr>
        <w:t>202</w:t>
      </w:r>
      <w:r w:rsidR="00C014AD">
        <w:rPr>
          <w:b/>
          <w:sz w:val="28"/>
          <w:szCs w:val="28"/>
        </w:rPr>
        <w:t>2</w:t>
      </w:r>
      <w:r w:rsidR="00DA41C7">
        <w:rPr>
          <w:b/>
          <w:sz w:val="28"/>
          <w:szCs w:val="28"/>
        </w:rPr>
        <w:t xml:space="preserve"> год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014AD" w:rsidRPr="00C5603D" w:rsidTr="00934454">
        <w:tc>
          <w:tcPr>
            <w:tcW w:w="2978" w:type="dxa"/>
            <w:shd w:val="clear" w:color="auto" w:fill="auto"/>
          </w:tcPr>
          <w:p w:rsidR="00C014AD" w:rsidRPr="00C5603D" w:rsidRDefault="00C014A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18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41,86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5603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C014AD" w:rsidRPr="00C5603D" w:rsidTr="00D543BF">
        <w:tc>
          <w:tcPr>
            <w:tcW w:w="2978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23,3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014AD"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Нарушение требований о предоставлении 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283B6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</w:t>
            </w:r>
            <w:r w:rsidR="00EE12B0">
              <w:t>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283B6F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283B6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64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744D3A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 отношении редакций СМИ и главных редакторов составлены протоколы об АП. После 10.03.2022 в</w:t>
            </w:r>
            <w:r w:rsidRPr="00744D3A">
              <w:t xml:space="preserve"> адрес </w:t>
            </w:r>
            <w:r>
              <w:t>редакций</w:t>
            </w:r>
            <w:r w:rsidRPr="00744D3A">
              <w:t xml:space="preserve"> СМИ</w:t>
            </w:r>
            <w:r>
              <w:t xml:space="preserve"> направлены 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9"/>
        <w:gridCol w:w="1471"/>
        <w:gridCol w:w="1958"/>
        <w:gridCol w:w="1471"/>
        <w:gridCol w:w="3173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lastRenderedPageBreak/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283B6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EE12B0" w:rsidP="0028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283B6F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0868A4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136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283B6F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283B6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0868A4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136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0868A4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0868A4" w:rsidRDefault="000868A4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Несоблюдение конфиденциальности при обработке персональных данных (</w:t>
            </w:r>
            <w:r w:rsidRPr="000868A4">
              <w:rPr>
                <w:sz w:val="24"/>
                <w:szCs w:val="24"/>
                <w:bdr w:val="none" w:sz="0" w:space="0" w:color="auto" w:frame="1"/>
              </w:rPr>
              <w:t>ч. 7 ст.22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8A4" w:rsidRDefault="000868A4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868A4" w:rsidRDefault="000868A4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3B6F"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8A4" w:rsidRDefault="000868A4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136</w:t>
            </w:r>
          </w:p>
        </w:tc>
        <w:tc>
          <w:tcPr>
            <w:tcW w:w="3176" w:type="dxa"/>
            <w:shd w:val="clear" w:color="auto" w:fill="auto"/>
          </w:tcPr>
          <w:p w:rsidR="000868A4" w:rsidRDefault="000868A4" w:rsidP="000868A4">
            <w:pPr>
              <w:pStyle w:val="Standard"/>
              <w:tabs>
                <w:tab w:val="left" w:pos="1500"/>
              </w:tabs>
              <w:jc w:val="center"/>
            </w:pPr>
          </w:p>
          <w:p w:rsidR="000868A4" w:rsidRDefault="000868A4" w:rsidP="000868A4">
            <w:pPr>
              <w:pStyle w:val="Standard"/>
              <w:tabs>
                <w:tab w:val="left" w:pos="1500"/>
              </w:tabs>
              <w:jc w:val="center"/>
            </w:pPr>
          </w:p>
          <w:p w:rsidR="000868A4" w:rsidRDefault="000868A4" w:rsidP="000868A4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868A4"/>
    <w:rsid w:val="00091BE4"/>
    <w:rsid w:val="000B269E"/>
    <w:rsid w:val="000C433E"/>
    <w:rsid w:val="00120064"/>
    <w:rsid w:val="0015049F"/>
    <w:rsid w:val="001B3E35"/>
    <w:rsid w:val="001C50C2"/>
    <w:rsid w:val="0023408B"/>
    <w:rsid w:val="00283B6F"/>
    <w:rsid w:val="003C2A78"/>
    <w:rsid w:val="004E2B9B"/>
    <w:rsid w:val="005402EE"/>
    <w:rsid w:val="005A33F2"/>
    <w:rsid w:val="006365D3"/>
    <w:rsid w:val="006A2732"/>
    <w:rsid w:val="00732515"/>
    <w:rsid w:val="00744D3A"/>
    <w:rsid w:val="008456D5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E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5</cp:revision>
  <cp:lastPrinted>2021-02-01T08:46:00Z</cp:lastPrinted>
  <dcterms:created xsi:type="dcterms:W3CDTF">2022-07-12T13:58:00Z</dcterms:created>
  <dcterms:modified xsi:type="dcterms:W3CDTF">2023-01-18T11:55:00Z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