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D6" w:rsidRPr="00216DD6" w:rsidRDefault="00216DD6" w:rsidP="00216DD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x-none"/>
        </w:rPr>
      </w:pPr>
      <w:r w:rsidRPr="00216DD6">
        <w:rPr>
          <w:kern w:val="3"/>
          <w:sz w:val="28"/>
          <w:szCs w:val="28"/>
          <w:lang w:val="x-none"/>
        </w:rPr>
        <w:t>Полномочия по осуществлению приема граждан и обеспечению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возложены на Федеральную службу по надзору в сфере связи, информационных технологий и массовых коммуникаций в соответствии с п. 5.11.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РФ от 16.03.2009 № 228.</w:t>
      </w:r>
    </w:p>
    <w:p w:rsidR="00216DD6" w:rsidRPr="00216DD6" w:rsidRDefault="00216DD6" w:rsidP="00216DD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x-none"/>
        </w:rPr>
      </w:pPr>
      <w:r w:rsidRPr="00216DD6">
        <w:rPr>
          <w:kern w:val="3"/>
          <w:sz w:val="28"/>
          <w:szCs w:val="28"/>
          <w:lang w:val="x-none"/>
        </w:rPr>
        <w:t>Рассмотрение обращений граждан осуществляется в соответствии с Федеральным законом РФ от 02.06.2006 № 59-ФЗ «О порядке рассмотрения обращений граждан Российской Федерации».</w:t>
      </w:r>
    </w:p>
    <w:p w:rsidR="00485A08" w:rsidRDefault="00485A08" w:rsidP="00485A08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В 1 квартале 2020 г. </w:t>
      </w:r>
      <w:r>
        <w:rPr>
          <w:kern w:val="3"/>
          <w:sz w:val="28"/>
          <w:szCs w:val="28"/>
        </w:rPr>
        <w:t xml:space="preserve">в Управлении Роскомнадзора по Пензенской области </w:t>
      </w:r>
      <w:r>
        <w:rPr>
          <w:kern w:val="3"/>
          <w:sz w:val="28"/>
          <w:szCs w:val="28"/>
        </w:rPr>
        <w:t xml:space="preserve">в процессе </w:t>
      </w:r>
      <w:proofErr w:type="gramStart"/>
      <w:r>
        <w:rPr>
          <w:kern w:val="3"/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>
        <w:rPr>
          <w:kern w:val="3"/>
          <w:sz w:val="28"/>
          <w:szCs w:val="28"/>
        </w:rPr>
        <w:t xml:space="preserve"> не допущено.</w:t>
      </w:r>
    </w:p>
    <w:p w:rsidR="00485A08" w:rsidRDefault="00485A08" w:rsidP="00485A08">
      <w:pPr>
        <w:pStyle w:val="Standard"/>
        <w:shd w:val="clear" w:color="auto" w:fill="FFFFFF"/>
        <w:ind w:firstLine="709"/>
        <w:jc w:val="both"/>
      </w:pPr>
    </w:p>
    <w:p w:rsidR="00485A08" w:rsidRDefault="00485A08" w:rsidP="00485A08">
      <w:pPr>
        <w:pStyle w:val="Standard"/>
        <w:tabs>
          <w:tab w:val="left" w:pos="1500"/>
        </w:tabs>
        <w:jc w:val="center"/>
        <w:rPr>
          <w:rFonts w:ascii="Times New Roman" w:hAnsi="Times New Roman" w:cs="Times New Roman"/>
          <w:b/>
          <w:i/>
        </w:rPr>
      </w:pPr>
      <w:r>
        <w:rPr>
          <w:sz w:val="28"/>
          <w:szCs w:val="28"/>
        </w:rPr>
        <w:t>Сведения о поступивших обращениях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1303"/>
        <w:gridCol w:w="1292"/>
        <w:gridCol w:w="1624"/>
      </w:tblGrid>
      <w:tr w:rsidR="00485A08" w:rsidTr="00485A08">
        <w:trPr>
          <w:cantSplit/>
          <w:trHeight w:val="828"/>
          <w:tblHeader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2019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2020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485A08" w:rsidTr="00485A08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</w:tbl>
    <w:p w:rsidR="00485A08" w:rsidRDefault="00485A08" w:rsidP="00485A08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485A08" w:rsidRPr="00485A08" w:rsidRDefault="00485A08" w:rsidP="00485A0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485A08">
        <w:rPr>
          <w:b/>
          <w:i/>
          <w:sz w:val="28"/>
          <w:szCs w:val="28"/>
          <w:u w:val="single"/>
        </w:rPr>
        <w:t>- в сфере деятельности по защите прав субъектов персональных данных:</w:t>
      </w:r>
    </w:p>
    <w:p w:rsidR="00485A08" w:rsidRDefault="00485A08" w:rsidP="00485A08"/>
    <w:p w:rsidR="00485A08" w:rsidRDefault="00485A08" w:rsidP="00485A08">
      <w:pPr>
        <w:pStyle w:val="Standard"/>
        <w:tabs>
          <w:tab w:val="left" w:pos="1500"/>
        </w:tabs>
        <w:jc w:val="center"/>
        <w:rPr>
          <w:b/>
          <w:i/>
        </w:rPr>
      </w:pPr>
      <w:r>
        <w:rPr>
          <w:sz w:val="28"/>
          <w:szCs w:val="28"/>
        </w:rPr>
        <w:t>Сведения о поступивших обращениях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303"/>
        <w:gridCol w:w="1292"/>
        <w:gridCol w:w="1895"/>
      </w:tblGrid>
      <w:tr w:rsidR="00485A08" w:rsidTr="00485A08">
        <w:trPr>
          <w:cantSplit/>
          <w:trHeight w:val="828"/>
          <w:tblHeader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2019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2020 год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485A08" w:rsidTr="00485A08">
        <w:trPr>
          <w:cantSplit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-44,06</w:t>
            </w:r>
          </w:p>
        </w:tc>
      </w:tr>
    </w:tbl>
    <w:p w:rsidR="00485A08" w:rsidRDefault="00485A08" w:rsidP="00485A08">
      <w:pPr>
        <w:jc w:val="both"/>
        <w:rPr>
          <w:sz w:val="28"/>
          <w:szCs w:val="28"/>
        </w:rPr>
      </w:pPr>
    </w:p>
    <w:p w:rsidR="00485A08" w:rsidRDefault="00485A08" w:rsidP="00485A08">
      <w:pPr>
        <w:ind w:firstLine="709"/>
        <w:jc w:val="both"/>
      </w:pPr>
      <w:r>
        <w:rPr>
          <w:sz w:val="28"/>
          <w:szCs w:val="28"/>
        </w:rPr>
        <w:lastRenderedPageBreak/>
        <w:t xml:space="preserve">Результаты работы Управления с обращениями граждан в сфере деятельности по защите прав субъектов персональных данных в </w:t>
      </w:r>
      <w:r>
        <w:rPr>
          <w:sz w:val="28"/>
          <w:szCs w:val="28"/>
        </w:rPr>
        <w:t xml:space="preserve">1 квартале 2020 г. </w:t>
      </w:r>
    </w:p>
    <w:p w:rsidR="00485A08" w:rsidRDefault="00485A08" w:rsidP="00485A08">
      <w:pPr>
        <w:ind w:firstLine="709"/>
        <w:jc w:val="right"/>
        <w:rPr>
          <w:b/>
          <w:i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1631"/>
        <w:gridCol w:w="1489"/>
      </w:tblGrid>
      <w:tr w:rsidR="00485A08" w:rsidTr="00485A08">
        <w:trPr>
          <w:cantSplit/>
          <w:trHeight w:val="463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485A08" w:rsidTr="00485A08">
        <w:trPr>
          <w:cantSplit/>
          <w:trHeight w:val="508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 кв.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rPr>
                <w:lang w:eastAsia="en-US"/>
              </w:rPr>
            </w:pPr>
          </w:p>
        </w:tc>
      </w:tr>
      <w:tr w:rsidR="00485A08" w:rsidTr="00485A0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>
                <w:rPr>
                  <w:rStyle w:val="a3"/>
                  <w:color w:val="auto"/>
                  <w:u w:val="none"/>
                  <w:lang w:eastAsia="en-US"/>
                </w:rPr>
                <w:t>законодательства</w:t>
              </w:r>
            </w:hyperlink>
            <w:r>
              <w:rPr>
                <w:lang w:eastAsia="en-US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5A08" w:rsidTr="00485A0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3"/>
                  <w:color w:val="auto"/>
                  <w:u w:val="none"/>
                  <w:lang w:eastAsia="en-US"/>
                </w:rPr>
                <w:t>законодательства</w:t>
              </w:r>
            </w:hyperlink>
            <w:r>
              <w:rPr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5A08" w:rsidTr="00485A0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 в отчетном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-44,05</w:t>
            </w:r>
          </w:p>
        </w:tc>
      </w:tr>
      <w:tr w:rsidR="00485A08" w:rsidTr="00485A0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47,66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-44,04</w:t>
            </w:r>
          </w:p>
        </w:tc>
      </w:tr>
      <w:tr w:rsidR="00485A08" w:rsidTr="00485A0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47,66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-44,04</w:t>
            </w:r>
          </w:p>
        </w:tc>
      </w:tr>
    </w:tbl>
    <w:p w:rsidR="00485A08" w:rsidRDefault="00485A08" w:rsidP="00485A08">
      <w:pPr>
        <w:ind w:firstLine="709"/>
        <w:jc w:val="right"/>
        <w:rPr>
          <w:sz w:val="28"/>
          <w:szCs w:val="28"/>
        </w:rPr>
      </w:pPr>
    </w:p>
    <w:p w:rsidR="00485A08" w:rsidRDefault="00485A08" w:rsidP="00485A08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персональных данных в 1 квартале 2020 года:</w:t>
      </w:r>
    </w:p>
    <w:p w:rsidR="00485A08" w:rsidRDefault="00485A08" w:rsidP="00485A08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>- в сфере ЖКХ: жалобы на незаконное получение персональных данных граждан при выставлении счетов по вывозу ТКО (ТБО);</w:t>
      </w:r>
    </w:p>
    <w:p w:rsidR="00485A08" w:rsidRDefault="00485A08" w:rsidP="00485A0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персональных данных граждан на интернет-сайтах;</w:t>
      </w:r>
    </w:p>
    <w:p w:rsidR="00485A08" w:rsidRDefault="00485A08" w:rsidP="00485A08">
      <w:pPr>
        <w:pStyle w:val="Standard"/>
        <w:ind w:firstLine="708"/>
        <w:jc w:val="both"/>
      </w:pPr>
      <w:r>
        <w:rPr>
          <w:sz w:val="28"/>
          <w:szCs w:val="28"/>
        </w:rPr>
        <w:t>- распространение персональных данных коллекторами.</w:t>
      </w:r>
    </w:p>
    <w:p w:rsidR="00485A08" w:rsidRDefault="00485A08" w:rsidP="00485A08">
      <w:pPr>
        <w:pStyle w:val="Standard"/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485A08" w:rsidRDefault="00485A08" w:rsidP="00485A08">
      <w:pPr>
        <w:pStyle w:val="Standard"/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485A08" w:rsidRPr="00485A08" w:rsidRDefault="00485A08" w:rsidP="00485A08">
      <w:pPr>
        <w:pStyle w:val="Standard"/>
        <w:tabs>
          <w:tab w:val="left" w:pos="1500"/>
        </w:tabs>
        <w:ind w:firstLine="709"/>
        <w:jc w:val="both"/>
        <w:rPr>
          <w:b/>
          <w:u w:val="single"/>
        </w:rPr>
      </w:pPr>
      <w:r w:rsidRPr="00485A08">
        <w:rPr>
          <w:b/>
          <w:i/>
          <w:sz w:val="28"/>
          <w:szCs w:val="28"/>
          <w:u w:val="single"/>
        </w:rPr>
        <w:t>- в сфере связи:</w:t>
      </w:r>
    </w:p>
    <w:p w:rsidR="00485A08" w:rsidRDefault="00485A08" w:rsidP="00485A08">
      <w:pPr>
        <w:rPr>
          <w:b/>
          <w:bCs/>
          <w:i/>
          <w:iCs/>
          <w:sz w:val="28"/>
          <w:szCs w:val="28"/>
          <w:u w:val="single"/>
        </w:rPr>
      </w:pPr>
    </w:p>
    <w:p w:rsidR="00485A08" w:rsidRDefault="00485A08" w:rsidP="00485A08">
      <w:pPr>
        <w:pStyle w:val="Standard"/>
        <w:tabs>
          <w:tab w:val="left" w:pos="1500"/>
        </w:tabs>
        <w:ind w:firstLine="709"/>
        <w:jc w:val="both"/>
      </w:pPr>
      <w:r>
        <w:rPr>
          <w:sz w:val="28"/>
          <w:szCs w:val="28"/>
        </w:rPr>
        <w:t>Сведения о поступивших обращениях приведены в таблице 1.5.22.4.</w:t>
      </w:r>
    </w:p>
    <w:p w:rsidR="00485A08" w:rsidRDefault="00485A08" w:rsidP="00485A08">
      <w:pPr>
        <w:pStyle w:val="Standard"/>
        <w:tabs>
          <w:tab w:val="left" w:pos="1500"/>
        </w:tabs>
        <w:jc w:val="right"/>
        <w:rPr>
          <w:b/>
          <w:i/>
        </w:rPr>
      </w:pPr>
      <w:r>
        <w:rPr>
          <w:b/>
          <w:i/>
        </w:rPr>
        <w:t>Таблица 1.5.22.4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303"/>
        <w:gridCol w:w="1292"/>
        <w:gridCol w:w="1895"/>
      </w:tblGrid>
      <w:tr w:rsidR="00485A08" w:rsidTr="00485A08">
        <w:trPr>
          <w:cantSplit/>
          <w:trHeight w:val="828"/>
          <w:tblHeader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2019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2020 год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485A08" w:rsidTr="00485A08">
        <w:trPr>
          <w:cantSplit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-20,7</w:t>
            </w:r>
          </w:p>
        </w:tc>
      </w:tr>
    </w:tbl>
    <w:p w:rsidR="00485A08" w:rsidRDefault="00485A08" w:rsidP="00485A08">
      <w:pPr>
        <w:pStyle w:val="2"/>
        <w:ind w:firstLine="709"/>
        <w:jc w:val="both"/>
        <w:rPr>
          <w:sz w:val="28"/>
          <w:szCs w:val="28"/>
          <w:lang w:val="ru-RU" w:eastAsia="ru-RU"/>
        </w:rPr>
      </w:pPr>
    </w:p>
    <w:p w:rsidR="00485A08" w:rsidRPr="00216DD6" w:rsidRDefault="00485A08" w:rsidP="00216DD6">
      <w:pPr>
        <w:pStyle w:val="2"/>
        <w:ind w:firstLine="709"/>
        <w:jc w:val="center"/>
        <w:rPr>
          <w:b/>
          <w:bCs/>
          <w:i/>
          <w:iCs/>
          <w:lang w:val="ru-RU" w:eastAsia="ru-RU"/>
        </w:rPr>
      </w:pPr>
      <w:r>
        <w:rPr>
          <w:sz w:val="28"/>
          <w:szCs w:val="28"/>
          <w:lang w:eastAsia="ru-RU"/>
        </w:rPr>
        <w:t xml:space="preserve">Сведения о результатах работы с обращениями граждан в </w:t>
      </w:r>
      <w:r w:rsidR="00216DD6">
        <w:rPr>
          <w:sz w:val="28"/>
          <w:szCs w:val="28"/>
          <w:lang w:eastAsia="ru-RU"/>
        </w:rPr>
        <w:t>сфере связи</w:t>
      </w:r>
    </w:p>
    <w:tbl>
      <w:tblPr>
        <w:tblW w:w="936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27"/>
        <w:gridCol w:w="1134"/>
        <w:gridCol w:w="1416"/>
        <w:gridCol w:w="1417"/>
      </w:tblGrid>
      <w:tr w:rsidR="00485A08" w:rsidTr="00485A08">
        <w:trPr>
          <w:cantSplit/>
          <w:trHeight w:val="828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1 квартал 2019 года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1 квартал 2020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Отклонение показателей,</w:t>
            </w:r>
          </w:p>
          <w:p w:rsidR="00485A08" w:rsidRDefault="00485A08">
            <w:pPr>
              <w:pStyle w:val="Standard"/>
              <w:spacing w:line="276" w:lineRule="auto"/>
              <w:jc w:val="center"/>
            </w:pPr>
            <w:r>
              <w:t xml:space="preserve"> %</w:t>
            </w:r>
          </w:p>
        </w:tc>
      </w:tr>
      <w:tr w:rsidR="00485A08" w:rsidTr="00485A0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1.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</w:pPr>
            <w:r>
              <w:t xml:space="preserve">Доля обращений граждан, ответы на которые даны с нарушениями требований 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485A08" w:rsidTr="00485A0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2.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</w:pPr>
            <w:r>
              <w:t xml:space="preserve">Доля обращений граждан, ответы на которые даны с нарушениями требований </w:t>
            </w:r>
            <w:hyperlink r:id="rId8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485A08" w:rsidTr="00485A0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3.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</w:pPr>
            <w:r>
              <w:t>Количество обращений граждан в отчетном периоде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-20,7</w:t>
            </w:r>
          </w:p>
        </w:tc>
      </w:tr>
      <w:tr w:rsidR="00485A08" w:rsidTr="00485A0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</w:pPr>
            <w: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14,5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18,4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26,9</w:t>
            </w:r>
          </w:p>
        </w:tc>
      </w:tr>
      <w:tr w:rsidR="00485A08" w:rsidTr="00485A0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5.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</w:pPr>
            <w: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14,5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18,4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26,9</w:t>
            </w:r>
          </w:p>
        </w:tc>
      </w:tr>
    </w:tbl>
    <w:p w:rsidR="00485A08" w:rsidRDefault="00485A08" w:rsidP="00485A08">
      <w:pPr>
        <w:pStyle w:val="2"/>
        <w:ind w:firstLine="709"/>
        <w:jc w:val="right"/>
        <w:rPr>
          <w:b/>
          <w:bCs/>
          <w:i/>
          <w:iCs/>
          <w:lang w:val="ru-RU" w:eastAsia="ru-RU"/>
        </w:rPr>
      </w:pPr>
    </w:p>
    <w:p w:rsidR="00485A08" w:rsidRDefault="00485A08" w:rsidP="00485A0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вопросы, по которым обращались граждане и юридические лица в течение </w:t>
      </w:r>
      <w:r w:rsidR="00216DD6">
        <w:rPr>
          <w:sz w:val="28"/>
          <w:szCs w:val="28"/>
        </w:rPr>
        <w:t>1 квартала</w:t>
      </w:r>
      <w:r>
        <w:rPr>
          <w:sz w:val="28"/>
          <w:szCs w:val="28"/>
        </w:rPr>
        <w:t xml:space="preserve"> 2020 года:</w:t>
      </w:r>
    </w:p>
    <w:p w:rsidR="00485A08" w:rsidRDefault="00485A08" w:rsidP="00485A0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контент-услуг без предупреждения о размере оплаты, списания денежных средств за непредоставление контент-услуг, что составляет </w:t>
      </w:r>
      <w:r>
        <w:rPr>
          <w:b/>
          <w:sz w:val="28"/>
          <w:szCs w:val="28"/>
        </w:rPr>
        <w:t>18,5</w:t>
      </w:r>
      <w:r>
        <w:rPr>
          <w:sz w:val="28"/>
          <w:szCs w:val="28"/>
        </w:rPr>
        <w:t xml:space="preserve"> % (17 обращений) от общего числа обращений;</w:t>
      </w:r>
    </w:p>
    <w:p w:rsidR="00485A08" w:rsidRDefault="00485A08" w:rsidP="00485A0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дополнительных платных услуг без согласия абонента, что составляет </w:t>
      </w:r>
      <w:r>
        <w:rPr>
          <w:b/>
          <w:sz w:val="28"/>
          <w:szCs w:val="28"/>
        </w:rPr>
        <w:t>10,8</w:t>
      </w:r>
      <w:r>
        <w:rPr>
          <w:sz w:val="28"/>
          <w:szCs w:val="28"/>
        </w:rPr>
        <w:t xml:space="preserve"> % (10 обращений) от общего числа обращений; </w:t>
      </w:r>
    </w:p>
    <w:p w:rsidR="00485A08" w:rsidRDefault="00485A08" w:rsidP="00485A0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организации работы почтовых отделений и их сотрудников, что составляет </w:t>
      </w:r>
      <w:r>
        <w:rPr>
          <w:b/>
          <w:sz w:val="28"/>
          <w:szCs w:val="28"/>
        </w:rPr>
        <w:t xml:space="preserve">5,4 </w:t>
      </w:r>
      <w:r>
        <w:rPr>
          <w:sz w:val="28"/>
          <w:szCs w:val="28"/>
        </w:rPr>
        <w:t>% (5 обращений) от общего числа обращений.</w:t>
      </w:r>
    </w:p>
    <w:p w:rsidR="00485A08" w:rsidRDefault="00485A08" w:rsidP="00485A08">
      <w:pPr>
        <w:pStyle w:val="1"/>
        <w:ind w:firstLine="708"/>
        <w:jc w:val="both"/>
        <w:rPr>
          <w:bCs/>
          <w:iCs/>
          <w:sz w:val="28"/>
          <w:szCs w:val="28"/>
        </w:rPr>
      </w:pPr>
    </w:p>
    <w:p w:rsidR="00485A08" w:rsidRDefault="00485A08" w:rsidP="00485A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5A08" w:rsidRPr="00216DD6" w:rsidRDefault="00485A08" w:rsidP="00485A08">
      <w:pPr>
        <w:tabs>
          <w:tab w:val="left" w:pos="1500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216DD6">
        <w:rPr>
          <w:b/>
          <w:i/>
          <w:sz w:val="28"/>
          <w:szCs w:val="28"/>
          <w:u w:val="single"/>
        </w:rPr>
        <w:t>- в сфере массовых коммуникаций</w:t>
      </w:r>
    </w:p>
    <w:p w:rsidR="00485A08" w:rsidRDefault="00485A08" w:rsidP="00485A08">
      <w:pPr>
        <w:pStyle w:val="Standard"/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485A08" w:rsidRDefault="00485A08" w:rsidP="00216DD6">
      <w:pPr>
        <w:pStyle w:val="Standard"/>
        <w:tabs>
          <w:tab w:val="left" w:pos="1500"/>
        </w:tabs>
        <w:jc w:val="center"/>
        <w:rPr>
          <w:b/>
          <w:i/>
        </w:rPr>
      </w:pPr>
      <w:r>
        <w:rPr>
          <w:sz w:val="28"/>
          <w:szCs w:val="28"/>
        </w:rPr>
        <w:t>Сведения о поступивших обращениях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303"/>
        <w:gridCol w:w="1292"/>
        <w:gridCol w:w="1895"/>
      </w:tblGrid>
      <w:tr w:rsidR="00485A08" w:rsidTr="00485A08">
        <w:trPr>
          <w:cantSplit/>
          <w:trHeight w:val="828"/>
          <w:tblHeader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2019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2020 год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485A08" w:rsidTr="00485A08">
        <w:trPr>
          <w:cantSplit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-55</w:t>
            </w:r>
          </w:p>
        </w:tc>
      </w:tr>
    </w:tbl>
    <w:p w:rsidR="00485A08" w:rsidRDefault="00485A08" w:rsidP="00485A08">
      <w:pPr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485A08" w:rsidRDefault="00485A08" w:rsidP="00485A08">
      <w:pPr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485A08" w:rsidRDefault="00485A08" w:rsidP="00485A08">
      <w:pPr>
        <w:tabs>
          <w:tab w:val="left" w:pos="9922"/>
        </w:tabs>
        <w:ind w:firstLine="709"/>
        <w:jc w:val="both"/>
      </w:pPr>
      <w:r>
        <w:rPr>
          <w:sz w:val="28"/>
          <w:szCs w:val="28"/>
        </w:rPr>
        <w:t xml:space="preserve">В 1 квартале 2020 года в Управление Роскомнадзора по Пензенской области поступило </w:t>
      </w:r>
      <w:r>
        <w:rPr>
          <w:b/>
          <w:bCs/>
          <w:sz w:val="28"/>
          <w:szCs w:val="28"/>
        </w:rPr>
        <w:t>175</w:t>
      </w:r>
      <w:r>
        <w:rPr>
          <w:sz w:val="28"/>
          <w:szCs w:val="28"/>
        </w:rPr>
        <w:t xml:space="preserve">  обращений граждан: по вопросам нарушений в сфере массовых коммуникаций (9 обращений) и вопросам организации деятельности сайтов в сети Интернет (175 обращений). В Управление обращения поступили:</w:t>
      </w:r>
    </w:p>
    <w:p w:rsidR="00485A08" w:rsidRDefault="00485A08" w:rsidP="00485A08">
      <w:pPr>
        <w:tabs>
          <w:tab w:val="left" w:pos="9922"/>
        </w:tabs>
        <w:ind w:firstLine="709"/>
        <w:jc w:val="both"/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- из органов прокуратуры;</w:t>
      </w:r>
    </w:p>
    <w:p w:rsidR="00485A08" w:rsidRDefault="00485A08" w:rsidP="00485A08">
      <w:pPr>
        <w:tabs>
          <w:tab w:val="left" w:pos="9922"/>
        </w:tabs>
        <w:ind w:firstLine="567"/>
        <w:jc w:val="both"/>
      </w:pP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182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- непосредственно от граждан;</w:t>
      </w:r>
    </w:p>
    <w:p w:rsidR="00485A08" w:rsidRDefault="00485A08" w:rsidP="00485A08">
      <w:pPr>
        <w:tabs>
          <w:tab w:val="left" w:pos="9922"/>
        </w:tabs>
        <w:ind w:firstLine="709"/>
        <w:jc w:val="both"/>
      </w:pPr>
      <w:r>
        <w:rPr>
          <w:b/>
          <w:sz w:val="28"/>
          <w:szCs w:val="28"/>
        </w:rPr>
        <w:t>1</w:t>
      </w:r>
      <w:r>
        <w:t xml:space="preserve"> – </w:t>
      </w:r>
      <w:r>
        <w:rPr>
          <w:sz w:val="28"/>
          <w:szCs w:val="28"/>
        </w:rPr>
        <w:t>из Управления образования г. Пензы.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рассмотрения: </w:t>
      </w:r>
    </w:p>
    <w:p w:rsidR="00485A08" w:rsidRDefault="00485A08" w:rsidP="00485A08">
      <w:pPr>
        <w:tabs>
          <w:tab w:val="left" w:pos="709"/>
          <w:tab w:val="num" w:pos="1597"/>
          <w:tab w:val="left" w:pos="9922"/>
        </w:tabs>
        <w:ind w:firstLine="709"/>
        <w:jc w:val="both"/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обращение перенаправлено в адрес УФАС;</w:t>
      </w:r>
    </w:p>
    <w:p w:rsidR="00485A08" w:rsidRDefault="00485A08" w:rsidP="00485A08">
      <w:pPr>
        <w:tabs>
          <w:tab w:val="left" w:pos="0"/>
          <w:tab w:val="num" w:pos="1597"/>
          <w:tab w:val="left" w:pos="9922"/>
        </w:tabs>
        <w:ind w:firstLine="709"/>
        <w:jc w:val="both"/>
      </w:pPr>
      <w:r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183 </w:t>
      </w:r>
      <w:r>
        <w:rPr>
          <w:sz w:val="28"/>
          <w:szCs w:val="28"/>
        </w:rPr>
        <w:t xml:space="preserve">обращениям заявителям даны исчерпывающие разъяснения по существу вопроса. </w:t>
      </w:r>
    </w:p>
    <w:p w:rsidR="00485A08" w:rsidRDefault="00485A08" w:rsidP="00485A08">
      <w:pPr>
        <w:tabs>
          <w:tab w:val="left" w:pos="9922"/>
        </w:tabs>
        <w:ind w:firstLine="709"/>
        <w:jc w:val="both"/>
      </w:pPr>
      <w:r>
        <w:rPr>
          <w:b/>
          <w:bCs/>
          <w:sz w:val="28"/>
          <w:szCs w:val="28"/>
        </w:rPr>
        <w:t>162</w:t>
      </w:r>
      <w:r>
        <w:rPr>
          <w:sz w:val="28"/>
          <w:szCs w:val="28"/>
        </w:rPr>
        <w:t xml:space="preserve"> обращения были дополнительно направлены в адрес УМВД России по Пензенской области. </w:t>
      </w:r>
    </w:p>
    <w:p w:rsidR="00485A08" w:rsidRDefault="00485A08" w:rsidP="00485A08">
      <w:pPr>
        <w:tabs>
          <w:tab w:val="left" w:pos="9922"/>
        </w:tabs>
        <w:ind w:firstLine="709"/>
        <w:jc w:val="both"/>
      </w:pPr>
      <w:r>
        <w:rPr>
          <w:b/>
          <w:bCs/>
          <w:sz w:val="28"/>
          <w:szCs w:val="28"/>
        </w:rPr>
        <w:t>162</w:t>
      </w:r>
      <w:r>
        <w:rPr>
          <w:sz w:val="28"/>
          <w:szCs w:val="28"/>
        </w:rPr>
        <w:t xml:space="preserve"> обращения были дополнительно направлены в адрес органов прокуратуры Пензенской области.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обращений касалась преимущественно вопросов распространения в сети Интернет информации: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занятия проституцией;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признаками порнографии;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признаками продажи фальшивых денежных средств;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признаками продажи поддельных документов.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обращений в сфере СМИ: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материалов публикуемых в СМИ, в том числе в телевизионных передачах,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организации деятельности редакции СМИ, 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-разъяснение вопросов по разрешительной деятельности и лицензированию.</w:t>
      </w:r>
    </w:p>
    <w:p w:rsidR="00485A08" w:rsidRDefault="00485A08" w:rsidP="00485A08">
      <w:pPr>
        <w:tabs>
          <w:tab w:val="left" w:pos="9922"/>
        </w:tabs>
        <w:ind w:firstLine="709"/>
        <w:jc w:val="both"/>
        <w:rPr>
          <w:sz w:val="28"/>
          <w:szCs w:val="28"/>
        </w:rPr>
      </w:pPr>
    </w:p>
    <w:p w:rsidR="00485A08" w:rsidRDefault="00485A08" w:rsidP="00485A08">
      <w:pPr>
        <w:pStyle w:val="Style9"/>
        <w:spacing w:line="240" w:lineRule="auto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Распределение поступивших за 1 квартал 2020 года обращений по темам:</w:t>
      </w:r>
    </w:p>
    <w:p w:rsidR="00485A08" w:rsidRDefault="00485A08" w:rsidP="00485A08">
      <w:pPr>
        <w:pStyle w:val="Style9"/>
        <w:spacing w:line="240" w:lineRule="auto"/>
        <w:ind w:right="24"/>
        <w:rPr>
          <w:rFonts w:eastAsia="Calibri"/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 wp14:anchorId="4F54A71C" wp14:editId="7D9BBFB3">
            <wp:extent cx="5600700" cy="5972175"/>
            <wp:effectExtent l="57150" t="57150" r="38100" b="47625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48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08"/>
    <w:rsid w:val="00216DD6"/>
    <w:rsid w:val="00485A08"/>
    <w:rsid w:val="00850F0E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A08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85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basedOn w:val="a"/>
    <w:rsid w:val="00485A08"/>
    <w:rPr>
      <w:rFonts w:eastAsia="Calibri"/>
    </w:rPr>
  </w:style>
  <w:style w:type="paragraph" w:customStyle="1" w:styleId="Style9">
    <w:name w:val="Style9"/>
    <w:uiPriority w:val="99"/>
    <w:rsid w:val="00485A08"/>
    <w:pPr>
      <w:widowControl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">
    <w:name w:val="Без интервала2"/>
    <w:basedOn w:val="a"/>
    <w:rsid w:val="00485A08"/>
    <w:rPr>
      <w:rFonts w:eastAsia="Calibri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485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A08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85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basedOn w:val="a"/>
    <w:rsid w:val="00485A08"/>
    <w:rPr>
      <w:rFonts w:eastAsia="Calibri"/>
    </w:rPr>
  </w:style>
  <w:style w:type="paragraph" w:customStyle="1" w:styleId="Style9">
    <w:name w:val="Style9"/>
    <w:uiPriority w:val="99"/>
    <w:rsid w:val="00485A08"/>
    <w:pPr>
      <w:widowControl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">
    <w:name w:val="Без интервала2"/>
    <w:basedOn w:val="a"/>
    <w:rsid w:val="00485A08"/>
    <w:rPr>
      <w:rFonts w:eastAsia="Calibri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485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EC-47B1-A7D9-EF36650E556B}"/>
                </c:ext>
              </c:extLst>
            </c:dLbl>
            <c:dLbl>
              <c:idx val="4"/>
              <c:layout>
                <c:manualLayout>
                  <c:x val="5.5100688257945861E-2"/>
                  <c:y val="3.29832511943201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EC-47B1-A7D9-EF36650E55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 признаками продажи поддельных документов</c:v>
                </c:pt>
                <c:pt idx="1">
                  <c:v>с признаками продажи фальшивых денежных средств</c:v>
                </c:pt>
                <c:pt idx="2">
                  <c:v>с признаками порнографии</c:v>
                </c:pt>
                <c:pt idx="3">
                  <c:v>с признаками мошеннических действий</c:v>
                </c:pt>
                <c:pt idx="4">
                  <c:v>содержание материалов публикуемых в СМИ, в том числе в телевизионных передачах</c:v>
                </c:pt>
                <c:pt idx="5">
                  <c:v>вопросы организации деятельности редакции СМИ</c:v>
                </c:pt>
                <c:pt idx="6">
                  <c:v>разъяснение вопросов по разрешительной деятельности и лицензированию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163</c:v>
                </c:pt>
                <c:pt idx="1">
                  <c:v>1</c:v>
                </c:pt>
                <c:pt idx="2">
                  <c:v>1</c:v>
                </c:pt>
                <c:pt idx="3">
                  <c:v>10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EC-47B1-A7D9-EF36650E55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426"/>
          <c:y val="2.0101136650439676E-2"/>
          <c:w val="0.33979163887371283"/>
          <c:h val="0.94054659569517463"/>
        </c:manualLayout>
      </c:layout>
      <c:overlay val="0"/>
      <c:txPr>
        <a:bodyPr/>
        <a:lstStyle/>
        <a:p>
          <a:pPr>
            <a:defRPr sz="1000" kern="1000" baseline="0"/>
          </a:pPr>
          <a:endParaRPr lang="ru-RU"/>
        </a:p>
      </c:txPr>
    </c:legend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dcterms:created xsi:type="dcterms:W3CDTF">2020-04-15T13:45:00Z</dcterms:created>
  <dcterms:modified xsi:type="dcterms:W3CDTF">2020-04-15T13:45:00Z</dcterms:modified>
</cp:coreProperties>
</file>