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52F" w:rsidRDefault="008B03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Пензенской области (далее – Управление)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B452F" w:rsidRDefault="008B032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92903" w:rsidRPr="00292903" w:rsidRDefault="00292903" w:rsidP="00292903">
      <w:pPr>
        <w:ind w:firstLine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>По состоянию на 3</w:t>
      </w:r>
      <w:r w:rsidR="00F75BCC">
        <w:rPr>
          <w:sz w:val="28"/>
          <w:szCs w:val="28"/>
        </w:rPr>
        <w:t>1</w:t>
      </w:r>
      <w:r w:rsidRPr="00292903">
        <w:rPr>
          <w:sz w:val="28"/>
          <w:szCs w:val="28"/>
        </w:rPr>
        <w:t>.</w:t>
      </w:r>
      <w:r w:rsidR="00F75BCC">
        <w:rPr>
          <w:sz w:val="28"/>
          <w:szCs w:val="28"/>
        </w:rPr>
        <w:t>12</w:t>
      </w:r>
      <w:r w:rsidRPr="00292903">
        <w:rPr>
          <w:sz w:val="28"/>
          <w:szCs w:val="28"/>
        </w:rPr>
        <w:t xml:space="preserve">.2022 в Управление </w:t>
      </w:r>
      <w:proofErr w:type="spellStart"/>
      <w:r w:rsidRPr="00292903">
        <w:rPr>
          <w:sz w:val="28"/>
          <w:szCs w:val="28"/>
        </w:rPr>
        <w:t>Роскомнадзора</w:t>
      </w:r>
      <w:proofErr w:type="spellEnd"/>
      <w:r w:rsidRPr="00292903">
        <w:rPr>
          <w:sz w:val="28"/>
          <w:szCs w:val="28"/>
        </w:rPr>
        <w:t xml:space="preserve"> по Пензенской области поступило </w:t>
      </w:r>
      <w:r w:rsidR="001D4FA9" w:rsidRPr="001D4FA9">
        <w:rPr>
          <w:sz w:val="28"/>
          <w:szCs w:val="28"/>
        </w:rPr>
        <w:t>11</w:t>
      </w:r>
      <w:r w:rsidR="00F75BCC">
        <w:rPr>
          <w:sz w:val="28"/>
          <w:szCs w:val="28"/>
        </w:rPr>
        <w:t>59</w:t>
      </w:r>
      <w:r w:rsidR="001D4FA9" w:rsidRPr="001D4FA9">
        <w:rPr>
          <w:sz w:val="28"/>
          <w:szCs w:val="28"/>
        </w:rPr>
        <w:t xml:space="preserve"> обращени</w:t>
      </w:r>
      <w:r w:rsidR="00F75BCC">
        <w:rPr>
          <w:sz w:val="28"/>
          <w:szCs w:val="28"/>
        </w:rPr>
        <w:t>й</w:t>
      </w:r>
      <w:r w:rsidR="001D4FA9" w:rsidRPr="001D4FA9">
        <w:rPr>
          <w:sz w:val="28"/>
          <w:szCs w:val="28"/>
        </w:rPr>
        <w:t xml:space="preserve"> (с учетом дубликатов)</w:t>
      </w:r>
      <w:r w:rsidRPr="00292903">
        <w:rPr>
          <w:sz w:val="28"/>
          <w:szCs w:val="28"/>
        </w:rPr>
        <w:t>.</w:t>
      </w:r>
    </w:p>
    <w:p w:rsidR="00292903" w:rsidRPr="00292903" w:rsidRDefault="00292903" w:rsidP="00292903">
      <w:pPr>
        <w:ind w:left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Из них: </w:t>
      </w:r>
    </w:p>
    <w:p w:rsidR="001D4FA9" w:rsidRPr="001D4FA9" w:rsidRDefault="001D4FA9" w:rsidP="001D4FA9">
      <w:pPr>
        <w:ind w:left="360"/>
        <w:jc w:val="both"/>
        <w:rPr>
          <w:sz w:val="28"/>
          <w:szCs w:val="28"/>
        </w:rPr>
      </w:pPr>
      <w:r w:rsidRPr="001D4FA9">
        <w:rPr>
          <w:sz w:val="28"/>
          <w:szCs w:val="28"/>
        </w:rPr>
        <w:t xml:space="preserve">- </w:t>
      </w:r>
      <w:r w:rsidR="00F75BCC">
        <w:rPr>
          <w:sz w:val="28"/>
          <w:szCs w:val="28"/>
        </w:rPr>
        <w:t>1251</w:t>
      </w:r>
      <w:r w:rsidRPr="001D4FA9">
        <w:rPr>
          <w:sz w:val="28"/>
          <w:szCs w:val="28"/>
        </w:rPr>
        <w:t xml:space="preserve"> обращений получено непосредственно от граждан;</w:t>
      </w:r>
    </w:p>
    <w:p w:rsidR="00CB452F" w:rsidRPr="00292903" w:rsidRDefault="001D4FA9" w:rsidP="001D4F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BCC">
        <w:rPr>
          <w:sz w:val="28"/>
          <w:szCs w:val="28"/>
        </w:rPr>
        <w:t>308</w:t>
      </w:r>
      <w:r w:rsidRPr="001D4FA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</w:t>
      </w:r>
      <w:r w:rsidR="00292903" w:rsidRPr="00292903">
        <w:rPr>
          <w:sz w:val="28"/>
          <w:szCs w:val="28"/>
        </w:rPr>
        <w:t xml:space="preserve">перенаправлено в Управление </w:t>
      </w:r>
      <w:r w:rsidR="008B0322" w:rsidRPr="00292903">
        <w:rPr>
          <w:sz w:val="28"/>
          <w:szCs w:val="28"/>
        </w:rPr>
        <w:t>от органов государственной власти и иных организаций.</w:t>
      </w:r>
    </w:p>
    <w:p w:rsidR="00CB452F" w:rsidRDefault="00CB452F">
      <w:pPr>
        <w:ind w:left="709"/>
        <w:jc w:val="both"/>
        <w:rPr>
          <w:sz w:val="28"/>
          <w:szCs w:val="28"/>
        </w:rPr>
      </w:pP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="00292903" w:rsidRPr="00292903">
        <w:rPr>
          <w:sz w:val="28"/>
          <w:szCs w:val="28"/>
        </w:rPr>
        <w:t xml:space="preserve">За отчетный период рассмотрено </w:t>
      </w:r>
      <w:r w:rsidR="001D4FA9" w:rsidRPr="001D4FA9">
        <w:rPr>
          <w:sz w:val="28"/>
          <w:szCs w:val="28"/>
        </w:rPr>
        <w:t>1</w:t>
      </w:r>
      <w:r w:rsidR="00F75BCC">
        <w:rPr>
          <w:sz w:val="28"/>
          <w:szCs w:val="28"/>
        </w:rPr>
        <w:t>515</w:t>
      </w:r>
      <w:r w:rsidR="00292903" w:rsidRPr="00292903">
        <w:rPr>
          <w:sz w:val="28"/>
          <w:szCs w:val="28"/>
        </w:rPr>
        <w:t xml:space="preserve"> обращени</w:t>
      </w:r>
      <w:r w:rsidR="001D4FA9">
        <w:rPr>
          <w:sz w:val="28"/>
          <w:szCs w:val="28"/>
        </w:rPr>
        <w:t>е</w:t>
      </w:r>
      <w:r w:rsidR="00292903" w:rsidRPr="0029290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По состоянию на 3</w:t>
      </w:r>
      <w:r w:rsidR="00F75B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75BCC">
        <w:rPr>
          <w:sz w:val="28"/>
          <w:szCs w:val="28"/>
        </w:rPr>
        <w:t>12</w:t>
      </w:r>
      <w:r w:rsidR="001D4FA9">
        <w:rPr>
          <w:sz w:val="28"/>
          <w:szCs w:val="28"/>
        </w:rPr>
        <w:t xml:space="preserve">.2022 </w:t>
      </w:r>
      <w:r w:rsidR="00F75BCC">
        <w:rPr>
          <w:sz w:val="28"/>
          <w:szCs w:val="28"/>
        </w:rPr>
        <w:t>44</w:t>
      </w:r>
      <w:r>
        <w:rPr>
          <w:sz w:val="28"/>
          <w:szCs w:val="28"/>
        </w:rPr>
        <w:t xml:space="preserve"> обращени</w:t>
      </w:r>
      <w:r w:rsidR="00F75BCC">
        <w:rPr>
          <w:sz w:val="28"/>
          <w:szCs w:val="28"/>
        </w:rPr>
        <w:t>я</w:t>
      </w:r>
      <w:r>
        <w:rPr>
          <w:sz w:val="28"/>
          <w:szCs w:val="28"/>
        </w:rPr>
        <w:t xml:space="preserve"> наход</w:t>
      </w:r>
      <w:r w:rsidR="00F75BCC">
        <w:rPr>
          <w:sz w:val="28"/>
          <w:szCs w:val="28"/>
        </w:rPr>
        <w:t>я</w:t>
      </w:r>
      <w:r>
        <w:rPr>
          <w:sz w:val="28"/>
          <w:szCs w:val="28"/>
        </w:rPr>
        <w:t>тся на рассмотрении. После рассмотрения и анализа представленных документов заявителям будут даны ответы.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уже рассмотренных Управлением </w:t>
      </w:r>
      <w:r w:rsidR="001D4FA9">
        <w:rPr>
          <w:sz w:val="28"/>
          <w:szCs w:val="28"/>
        </w:rPr>
        <w:t xml:space="preserve">за </w:t>
      </w:r>
      <w:r>
        <w:rPr>
          <w:sz w:val="28"/>
          <w:szCs w:val="28"/>
        </w:rPr>
        <w:t>2022 год обращений:</w:t>
      </w:r>
    </w:p>
    <w:tbl>
      <w:tblPr>
        <w:tblW w:w="10341" w:type="dxa"/>
        <w:tblInd w:w="-27" w:type="dxa"/>
        <w:tblLook w:val="04A0" w:firstRow="1" w:lastRow="0" w:firstColumn="1" w:lastColumn="0" w:noHBand="0" w:noVBand="1"/>
      </w:tblPr>
      <w:tblGrid>
        <w:gridCol w:w="8357"/>
        <w:gridCol w:w="1984"/>
      </w:tblGrid>
      <w:tr w:rsidR="00F75BCC" w:rsidRPr="009101FC" w:rsidTr="003E67D3">
        <w:trPr>
          <w:trHeight w:val="34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Поддержан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10</w:t>
            </w:r>
          </w:p>
        </w:tc>
      </w:tr>
      <w:tr w:rsidR="00F75BCC" w:rsidRPr="009101FC" w:rsidTr="003E67D3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44</w:t>
            </w:r>
          </w:p>
        </w:tc>
      </w:tr>
      <w:tr w:rsidR="00F75BCC" w:rsidRPr="009101FC" w:rsidTr="003E67D3">
        <w:trPr>
          <w:trHeight w:val="342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Разъяснено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1223</w:t>
            </w:r>
          </w:p>
        </w:tc>
      </w:tr>
      <w:tr w:rsidR="00F75BCC" w:rsidRPr="009101FC" w:rsidTr="003E67D3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210</w:t>
            </w:r>
          </w:p>
        </w:tc>
      </w:tr>
      <w:tr w:rsidR="00F75BCC" w:rsidRPr="009101FC" w:rsidTr="003E67D3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</w:t>
            </w:r>
          </w:p>
        </w:tc>
      </w:tr>
      <w:tr w:rsidR="00F75BCC" w:rsidRPr="009101FC" w:rsidTr="003E67D3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Принято к сведению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</w:t>
            </w:r>
          </w:p>
        </w:tc>
      </w:tr>
      <w:tr w:rsidR="00F75BCC" w:rsidRPr="009101FC" w:rsidTr="003E67D3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12</w:t>
            </w:r>
          </w:p>
        </w:tc>
      </w:tr>
      <w:tr w:rsidR="00F75BCC" w:rsidRPr="009101FC" w:rsidTr="003E67D3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Переписка прекращена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2</w:t>
            </w:r>
          </w:p>
        </w:tc>
      </w:tr>
      <w:tr w:rsidR="00F75BCC" w:rsidRPr="009101FC" w:rsidTr="003E67D3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ind w:firstLineChars="100" w:firstLine="220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101FC" w:rsidRDefault="00F75BCC" w:rsidP="003E67D3">
            <w:pPr>
              <w:jc w:val="center"/>
              <w:rPr>
                <w:sz w:val="22"/>
                <w:szCs w:val="22"/>
              </w:rPr>
            </w:pPr>
            <w:r w:rsidRPr="009101FC">
              <w:rPr>
                <w:sz w:val="22"/>
                <w:szCs w:val="22"/>
              </w:rPr>
              <w:t>12</w:t>
            </w:r>
          </w:p>
        </w:tc>
      </w:tr>
    </w:tbl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FF784E" w:rsidRPr="0063635F" w:rsidRDefault="00FF784E" w:rsidP="00FF784E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 w:rsidRPr="0063635F"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F75BCC" w:rsidRPr="00F75BCC" w:rsidRDefault="00F75BCC" w:rsidP="00F75BCC">
      <w:pPr>
        <w:ind w:firstLine="720"/>
        <w:jc w:val="both"/>
        <w:rPr>
          <w:sz w:val="28"/>
          <w:szCs w:val="28"/>
        </w:rPr>
      </w:pPr>
      <w:r w:rsidRPr="00F75BCC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F75BCC" w:rsidRPr="00F75BCC" w:rsidRDefault="00F75BCC" w:rsidP="00F75BCC">
      <w:pPr>
        <w:ind w:firstLine="720"/>
        <w:jc w:val="both"/>
        <w:rPr>
          <w:sz w:val="28"/>
          <w:szCs w:val="28"/>
        </w:rPr>
      </w:pPr>
      <w:r w:rsidRPr="00F75BCC">
        <w:rPr>
          <w:sz w:val="28"/>
          <w:szCs w:val="28"/>
        </w:rPr>
        <w:t xml:space="preserve">интернет и информационные технологии (47,08%); </w:t>
      </w:r>
    </w:p>
    <w:p w:rsidR="00F75BCC" w:rsidRPr="00F75BCC" w:rsidRDefault="00F75BCC" w:rsidP="00F75BCC">
      <w:pPr>
        <w:ind w:firstLine="720"/>
        <w:jc w:val="both"/>
        <w:rPr>
          <w:sz w:val="28"/>
          <w:szCs w:val="28"/>
        </w:rPr>
      </w:pPr>
      <w:r w:rsidRPr="00F75BCC">
        <w:rPr>
          <w:sz w:val="28"/>
          <w:szCs w:val="28"/>
        </w:rPr>
        <w:t>оказание услуг связи (22,5%);</w:t>
      </w:r>
    </w:p>
    <w:p w:rsidR="00F75BCC" w:rsidRPr="00F75BCC" w:rsidRDefault="00F75BCC" w:rsidP="00F75BCC">
      <w:pPr>
        <w:ind w:firstLine="720"/>
        <w:jc w:val="both"/>
        <w:rPr>
          <w:sz w:val="28"/>
          <w:szCs w:val="28"/>
        </w:rPr>
      </w:pPr>
      <w:r w:rsidRPr="00F75BCC"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(19,75%).</w:t>
      </w:r>
    </w:p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FF784E" w:rsidRDefault="00FF784E">
      <w:pPr>
        <w:ind w:firstLine="720"/>
        <w:jc w:val="both"/>
        <w:rPr>
          <w:sz w:val="28"/>
          <w:szCs w:val="28"/>
          <w:highlight w:val="yellow"/>
        </w:rPr>
      </w:pPr>
    </w:p>
    <w:p w:rsidR="00FF784E" w:rsidRDefault="00FF784E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t>Анализ поступивших обращений по тематике</w:t>
      </w:r>
    </w:p>
    <w:p w:rsidR="00CB452F" w:rsidRDefault="00CB452F">
      <w:pPr>
        <w:ind w:left="6372" w:firstLine="708"/>
        <w:jc w:val="right"/>
        <w:rPr>
          <w:bCs/>
          <w:i/>
          <w:iCs/>
        </w:rPr>
      </w:pPr>
    </w:p>
    <w:tbl>
      <w:tblPr>
        <w:tblW w:w="7605" w:type="dxa"/>
        <w:jc w:val="center"/>
        <w:tblLook w:val="04A0" w:firstRow="1" w:lastRow="0" w:firstColumn="1" w:lastColumn="0" w:noHBand="0" w:noVBand="1"/>
      </w:tblPr>
      <w:tblGrid>
        <w:gridCol w:w="6325"/>
        <w:gridCol w:w="1280"/>
      </w:tblGrid>
      <w:tr w:rsidR="00F75BCC" w:rsidRPr="00995404" w:rsidTr="00F75BCC">
        <w:trPr>
          <w:trHeight w:val="522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CC" w:rsidRPr="00995404" w:rsidRDefault="00F75BCC" w:rsidP="003E67D3">
            <w:pPr>
              <w:jc w:val="center"/>
            </w:pPr>
            <w:r w:rsidRPr="00995404">
              <w:t>Тематика поступивших обращений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r w:rsidRPr="00995404">
              <w:t>2022 год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200" w:firstLine="480"/>
              <w:jc w:val="center"/>
            </w:pPr>
            <w:r w:rsidRPr="00995404">
              <w:t>Вопросы административного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149</w:t>
            </w:r>
          </w:p>
        </w:tc>
      </w:tr>
      <w:tr w:rsidR="00F75BCC" w:rsidRPr="00995404" w:rsidTr="00F75BCC">
        <w:trPr>
          <w:trHeight w:val="37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proofErr w:type="gramStart"/>
            <w:r w:rsidRPr="00995404">
              <w:t>Вопросы</w:t>
            </w:r>
            <w:proofErr w:type="gramEnd"/>
            <w:r w:rsidRPr="00995404">
              <w:t xml:space="preserve"> не относящиеся к деятельности </w:t>
            </w:r>
            <w:proofErr w:type="spellStart"/>
            <w:r w:rsidRPr="00995404">
              <w:t>Роскомнадзора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113</w:t>
            </w:r>
          </w:p>
        </w:tc>
      </w:tr>
      <w:tr w:rsidR="00F75BCC" w:rsidRPr="00995404" w:rsidTr="00F75BCC">
        <w:trPr>
          <w:trHeight w:val="37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Благодарности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  <w:tr w:rsidR="00F75BCC" w:rsidRPr="00995404" w:rsidTr="00F75BCC">
        <w:trPr>
          <w:trHeight w:val="37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правового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6</w:t>
            </w:r>
          </w:p>
        </w:tc>
      </w:tr>
      <w:tr w:rsidR="00F75BCC" w:rsidRPr="00995404" w:rsidTr="00F75BCC">
        <w:trPr>
          <w:trHeight w:val="43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Обращение, не содержащее сути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17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Отзыв обращения, заявления, жалобы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10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 xml:space="preserve">Получение информации по ранее поданным обращениям и </w:t>
            </w:r>
            <w:proofErr w:type="spellStart"/>
            <w:r w:rsidRPr="00995404">
              <w:t>докуентам</w:t>
            </w:r>
            <w:proofErr w:type="spellEnd"/>
            <w:r w:rsidRPr="00995404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Заявление об ознакомлении с материалами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  <w:tr w:rsidR="00F75BCC" w:rsidRPr="00995404" w:rsidTr="00F75BCC">
        <w:trPr>
          <w:trHeight w:val="49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200" w:firstLine="482"/>
              <w:jc w:val="center"/>
              <w:rPr>
                <w:b/>
              </w:rPr>
            </w:pPr>
            <w:r w:rsidRPr="00995404">
              <w:rPr>
                <w:b/>
              </w:rPr>
              <w:t>Интернет и информационные технологии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  <w:rPr>
                <w:b/>
              </w:rPr>
            </w:pPr>
            <w:r w:rsidRPr="00995404">
              <w:rPr>
                <w:b/>
              </w:rPr>
              <w:t>734</w:t>
            </w:r>
          </w:p>
        </w:tc>
      </w:tr>
      <w:tr w:rsidR="00F75BCC" w:rsidRPr="00995404" w:rsidTr="00F75BCC">
        <w:trPr>
          <w:trHeight w:val="91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720</w:t>
            </w:r>
          </w:p>
        </w:tc>
      </w:tr>
      <w:tr w:rsidR="00F75BCC" w:rsidRPr="00995404" w:rsidTr="00F75BCC">
        <w:trPr>
          <w:trHeight w:val="91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Регистрация доменных имен и другие вопрос информационных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97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4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Требования о разблокировке сайтов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3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Сообщения о нарушении положений 398-фз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7</w:t>
            </w:r>
          </w:p>
        </w:tc>
      </w:tr>
      <w:tr w:rsidR="00F75BCC" w:rsidRPr="00995404" w:rsidTr="00F75BCC">
        <w:trPr>
          <w:trHeight w:val="40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200" w:firstLine="482"/>
              <w:jc w:val="center"/>
              <w:rPr>
                <w:b/>
              </w:rPr>
            </w:pPr>
            <w:r w:rsidRPr="00995404">
              <w:rPr>
                <w:b/>
              </w:rPr>
              <w:t>Персональные данные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  <w:rPr>
                <w:b/>
              </w:rPr>
            </w:pPr>
            <w:r w:rsidRPr="00995404">
              <w:rPr>
                <w:b/>
              </w:rPr>
              <w:t>308</w:t>
            </w:r>
          </w:p>
        </w:tc>
      </w:tr>
      <w:tr w:rsidR="00F75BCC" w:rsidRPr="00995404" w:rsidTr="00F75BCC">
        <w:trPr>
          <w:trHeight w:val="49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Обжалование в ТО ранее данных ответов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43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Досыл документов по запросу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21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защиты персональных данных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280</w:t>
            </w:r>
          </w:p>
        </w:tc>
      </w:tr>
      <w:tr w:rsidR="00F75BCC" w:rsidRPr="00995404" w:rsidTr="00F75BCC">
        <w:trPr>
          <w:trHeight w:val="66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по реестру операторов, обрабатывающих персональные данные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4</w:t>
            </w:r>
          </w:p>
        </w:tc>
      </w:tr>
      <w:tr w:rsidR="00F75BCC" w:rsidRPr="00995404" w:rsidTr="00F75BCC">
        <w:trPr>
          <w:trHeight w:val="66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Жалобы по делам об АП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52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Разъяснение вопросов по применению 152-ФЗ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3</w:t>
            </w:r>
          </w:p>
        </w:tc>
      </w:tr>
      <w:tr w:rsidR="00F75BCC" w:rsidRPr="00995404" w:rsidTr="00F75BCC">
        <w:trPr>
          <w:trHeight w:val="30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200" w:firstLine="482"/>
              <w:jc w:val="center"/>
              <w:rPr>
                <w:b/>
              </w:rPr>
            </w:pPr>
            <w:r w:rsidRPr="00995404">
              <w:rPr>
                <w:b/>
              </w:rPr>
              <w:t>Связь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  <w:rPr>
                <w:b/>
              </w:rPr>
            </w:pPr>
            <w:r w:rsidRPr="00995404">
              <w:rPr>
                <w:b/>
              </w:rPr>
              <w:t>351</w:t>
            </w:r>
          </w:p>
        </w:tc>
      </w:tr>
      <w:tr w:rsidR="00F75BCC" w:rsidRPr="00995404" w:rsidTr="00F75BCC">
        <w:trPr>
          <w:trHeight w:val="6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55</w:t>
            </w:r>
          </w:p>
        </w:tc>
      </w:tr>
      <w:tr w:rsidR="00F75BCC" w:rsidRPr="00995404" w:rsidTr="00F75BCC">
        <w:trPr>
          <w:trHeight w:val="6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организации работы почтовых отделений и их сотрудников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10</w:t>
            </w:r>
          </w:p>
        </w:tc>
      </w:tr>
      <w:tr w:rsidR="00F75BCC" w:rsidRPr="00995404" w:rsidTr="00F75BCC">
        <w:trPr>
          <w:trHeight w:val="6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эксплуатации оборудования связи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67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Разъяснение вопросов по разрешительной деятельности и лицензированию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3</w:t>
            </w:r>
          </w:p>
        </w:tc>
      </w:tr>
      <w:tr w:rsidR="00F75BCC" w:rsidRPr="00995404" w:rsidTr="00F75BCC">
        <w:trPr>
          <w:trHeight w:val="49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качества оказания услуг связи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50</w:t>
            </w:r>
          </w:p>
        </w:tc>
      </w:tr>
      <w:tr w:rsidR="00F75BCC" w:rsidRPr="00995404" w:rsidTr="00F75BCC">
        <w:trPr>
          <w:trHeight w:val="4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400" w:firstLine="960"/>
              <w:jc w:val="center"/>
            </w:pPr>
            <w:r w:rsidRPr="00995404">
              <w:t>Вопросы предоставления услуг связи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39</w:t>
            </w:r>
          </w:p>
        </w:tc>
      </w:tr>
      <w:tr w:rsidR="00F75BCC" w:rsidRPr="00995404" w:rsidTr="00F75BCC">
        <w:trPr>
          <w:trHeight w:val="60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400" w:firstLine="960"/>
              <w:jc w:val="center"/>
            </w:pPr>
            <w:r w:rsidRPr="00995404">
              <w:t xml:space="preserve">Жалобы на операторов:  </w:t>
            </w:r>
            <w:proofErr w:type="spellStart"/>
            <w:r w:rsidRPr="00995404">
              <w:t>Вымпелком</w:t>
            </w:r>
            <w:proofErr w:type="spellEnd"/>
            <w:r w:rsidRPr="00995404">
              <w:t xml:space="preserve"> (Билайн), МТС, Мегафон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11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Оказание дополнительных платных услуг без согласия абонентов (подключение без согласия абонента услуг мобильный интернет и т.д.)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Отсутствие связи, перерывы в связи, отсутствие покрытия т.д.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7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proofErr w:type="gramStart"/>
            <w:r w:rsidRPr="00995404">
              <w:t>Ошибочные</w:t>
            </w:r>
            <w:proofErr w:type="gramEnd"/>
            <w:r w:rsidRPr="00995404">
              <w:t xml:space="preserve"> </w:t>
            </w:r>
            <w:proofErr w:type="spellStart"/>
            <w:r w:rsidRPr="00995404">
              <w:t>дйствия</w:t>
            </w:r>
            <w:proofErr w:type="spellEnd"/>
            <w:r w:rsidRPr="00995404">
              <w:t xml:space="preserve"> абонента при пополнении баланса с использованием </w:t>
            </w:r>
            <w:proofErr w:type="spellStart"/>
            <w:r w:rsidRPr="00995404">
              <w:t>пллатежных</w:t>
            </w:r>
            <w:proofErr w:type="spellEnd"/>
            <w:r w:rsidRPr="00995404">
              <w:t xml:space="preserve"> систем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Функционирование сети связи (несоответствие скорости мобильного интернета заявленной, шум, неразборчивость речи, пропадание слогов и слов при переговорах, невозможность дозвона по отдельным направлениям)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</w:t>
            </w:r>
            <w:proofErr w:type="spellStart"/>
            <w:r w:rsidRPr="00995404">
              <w:t>улуг</w:t>
            </w:r>
            <w:proofErr w:type="spellEnd"/>
            <w:r w:rsidRPr="00995404">
              <w:t xml:space="preserve">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98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Обжалование в ЦА ответов данных  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0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Досыл документов по запросу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19</w:t>
            </w:r>
          </w:p>
        </w:tc>
      </w:tr>
      <w:tr w:rsidR="00F75BCC" w:rsidRPr="00995404" w:rsidTr="00F75BCC">
        <w:trPr>
          <w:trHeight w:val="78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 xml:space="preserve">Другие вопросы в сфере связи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116</w:t>
            </w:r>
          </w:p>
        </w:tc>
      </w:tr>
      <w:tr w:rsidR="00F75BCC" w:rsidRPr="00995404" w:rsidTr="00F75BCC">
        <w:trPr>
          <w:trHeight w:val="90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3</w:t>
            </w:r>
          </w:p>
        </w:tc>
      </w:tr>
      <w:tr w:rsidR="00F75BCC" w:rsidRPr="00995404" w:rsidTr="00F75BCC">
        <w:trPr>
          <w:trHeight w:val="205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500" w:firstLine="1200"/>
              <w:jc w:val="center"/>
            </w:pPr>
            <w:r w:rsidRPr="00995404">
              <w:lastRenderedPageBreak/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995404">
              <w:t>непредоставленные</w:t>
            </w:r>
            <w:proofErr w:type="spellEnd"/>
            <w:r w:rsidRPr="00995404"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-</w:t>
            </w:r>
          </w:p>
        </w:tc>
      </w:tr>
      <w:tr w:rsidR="00F75BCC" w:rsidRPr="00995404" w:rsidTr="00F75BCC">
        <w:trPr>
          <w:trHeight w:val="30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200" w:firstLine="482"/>
              <w:jc w:val="center"/>
              <w:rPr>
                <w:b/>
              </w:rPr>
            </w:pPr>
            <w:r w:rsidRPr="00995404">
              <w:rPr>
                <w:b/>
              </w:rPr>
              <w:t>СМИ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  <w:rPr>
                <w:b/>
              </w:rPr>
            </w:pPr>
            <w:r w:rsidRPr="00995404">
              <w:rPr>
                <w:b/>
              </w:rPr>
              <w:t>17</w:t>
            </w:r>
          </w:p>
        </w:tc>
      </w:tr>
      <w:tr w:rsidR="00F75BCC" w:rsidRPr="00995404" w:rsidTr="00F75BCC">
        <w:trPr>
          <w:trHeight w:val="54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организации деятельности редакций СМИ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2</w:t>
            </w:r>
          </w:p>
        </w:tc>
      </w:tr>
      <w:tr w:rsidR="00F75BCC" w:rsidRPr="00995404" w:rsidTr="00F75BCC">
        <w:trPr>
          <w:trHeight w:val="76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 xml:space="preserve">Вопросы по содержанию материалов, публикуемых в СМИ, в </w:t>
            </w:r>
            <w:proofErr w:type="spellStart"/>
            <w:r w:rsidRPr="00995404">
              <w:t>т.ч</w:t>
            </w:r>
            <w:proofErr w:type="spellEnd"/>
            <w:r w:rsidRPr="00995404">
              <w:t>. телевизионных передач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14</w:t>
            </w:r>
          </w:p>
        </w:tc>
      </w:tr>
      <w:tr w:rsidR="00F75BCC" w:rsidRPr="00995404" w:rsidTr="00F75BCC">
        <w:trPr>
          <w:trHeight w:val="67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Разъяснение вопросов по разрешительной деятельности и лицензированию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</w:tbl>
    <w:p w:rsidR="00CB452F" w:rsidRDefault="00CB452F">
      <w:pPr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</w:p>
    <w:p w:rsidR="00CB452F" w:rsidRDefault="00CB452F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- нарушение требований конфиденциальности при обработке персональных данных: 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- распространение персональных данных граждан на интернет-сайтах;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- распространение персональных данных Банками и </w:t>
      </w:r>
      <w:proofErr w:type="spellStart"/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коллекторским</w:t>
      </w:r>
      <w:proofErr w:type="spellEnd"/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агентствам.</w:t>
      </w:r>
    </w:p>
    <w:p w:rsidR="00CB452F" w:rsidRDefault="00292903" w:rsidP="00292903">
      <w:pPr>
        <w:rPr>
          <w:sz w:val="28"/>
          <w:szCs w:val="28"/>
          <w:highlight w:val="yellow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</w:r>
    </w:p>
    <w:p w:rsidR="00CB452F" w:rsidRDefault="008B0322">
      <w:pPr>
        <w:pStyle w:val="12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</w:p>
    <w:p w:rsidR="00CB452F" w:rsidRDefault="00CB452F">
      <w:pPr>
        <w:pStyle w:val="12"/>
        <w:ind w:firstLine="709"/>
        <w:jc w:val="both"/>
        <w:rPr>
          <w:sz w:val="28"/>
          <w:szCs w:val="28"/>
        </w:rPr>
      </w:pPr>
    </w:p>
    <w:p w:rsidR="00F75BCC" w:rsidRPr="00F75BCC" w:rsidRDefault="00F75BCC" w:rsidP="00F75BCC">
      <w:pPr>
        <w:ind w:firstLine="708"/>
        <w:jc w:val="both"/>
        <w:rPr>
          <w:rFonts w:cs="Calibri"/>
          <w:sz w:val="28"/>
          <w:szCs w:val="28"/>
        </w:rPr>
      </w:pPr>
      <w:r w:rsidRPr="00F75BCC">
        <w:rPr>
          <w:rFonts w:cs="Calibri"/>
          <w:sz w:val="28"/>
          <w:szCs w:val="28"/>
        </w:rPr>
        <w:t>Основные вопросы, по которым обращались граждане и юридические лица в течение отчетного периода 2022 года:</w:t>
      </w:r>
    </w:p>
    <w:p w:rsidR="00F75BCC" w:rsidRPr="00F75BCC" w:rsidRDefault="00F75BCC" w:rsidP="00F75BCC">
      <w:pPr>
        <w:jc w:val="both"/>
        <w:rPr>
          <w:rFonts w:cs="Calibri"/>
          <w:sz w:val="28"/>
          <w:szCs w:val="28"/>
        </w:rPr>
      </w:pPr>
      <w:r w:rsidRPr="00F75BCC">
        <w:rPr>
          <w:rFonts w:cs="Calibri"/>
          <w:sz w:val="28"/>
          <w:szCs w:val="28"/>
        </w:rPr>
        <w:t>- 98 обращени</w:t>
      </w:r>
      <w:r>
        <w:rPr>
          <w:rFonts w:cs="Calibri"/>
          <w:sz w:val="28"/>
          <w:szCs w:val="28"/>
        </w:rPr>
        <w:t>й</w:t>
      </w:r>
      <w:r w:rsidRPr="00F75BCC">
        <w:rPr>
          <w:rFonts w:cs="Calibri"/>
          <w:sz w:val="28"/>
          <w:szCs w:val="28"/>
        </w:rPr>
        <w:t xml:space="preserve"> по вопросам перенесения абонентских номеров на сетях подвижной радиотелефонной связи (отказ оператора связи принять заявление, неоказание у</w:t>
      </w:r>
      <w:r>
        <w:rPr>
          <w:rFonts w:cs="Calibri"/>
          <w:sz w:val="28"/>
          <w:szCs w:val="28"/>
        </w:rPr>
        <w:t>с</w:t>
      </w:r>
      <w:r w:rsidRPr="00F75BCC">
        <w:rPr>
          <w:rFonts w:cs="Calibri"/>
          <w:sz w:val="28"/>
          <w:szCs w:val="28"/>
        </w:rPr>
        <w:t>луг подвижной связи после перенесения номера, нарушение сроков перенесения номера, иные причины), что составляет 27,9 % от общего числа обращений в сфере связи;</w:t>
      </w:r>
    </w:p>
    <w:p w:rsidR="00292903" w:rsidRDefault="00F75BCC" w:rsidP="00F75BCC">
      <w:pPr>
        <w:jc w:val="both"/>
        <w:rPr>
          <w:bCs/>
          <w:i/>
          <w:iCs/>
          <w:sz w:val="28"/>
          <w:szCs w:val="28"/>
          <w:u w:val="single"/>
        </w:rPr>
      </w:pPr>
      <w:r w:rsidRPr="00F75BCC">
        <w:rPr>
          <w:rFonts w:cs="Calibri"/>
          <w:sz w:val="28"/>
          <w:szCs w:val="28"/>
        </w:rPr>
        <w:t>- 55 обращения по вопросам пересылки, доставки и розыску почтовых отправлений, что составляет 15,7 % от общего числа обращений в сфере связи.</w:t>
      </w:r>
    </w:p>
    <w:p w:rsidR="00CB452F" w:rsidRDefault="008B0322" w:rsidP="00292903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  <w:r w:rsidR="00292903">
        <w:rPr>
          <w:bCs/>
          <w:i/>
          <w:iCs/>
          <w:sz w:val="28"/>
          <w:szCs w:val="28"/>
          <w:u w:val="single"/>
        </w:rPr>
        <w:t xml:space="preserve"> и информационных технологий</w:t>
      </w:r>
    </w:p>
    <w:p w:rsidR="00CB452F" w:rsidRDefault="00CB452F" w:rsidP="00292903">
      <w:pPr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Общее количество поступивших обращений за отчетный период - </w:t>
      </w:r>
      <w:r w:rsidR="00FF784E">
        <w:rPr>
          <w:bCs/>
          <w:iCs/>
          <w:sz w:val="28"/>
          <w:szCs w:val="28"/>
        </w:rPr>
        <w:t>600</w:t>
      </w:r>
    </w:p>
    <w:p w:rsidR="00CB452F" w:rsidRDefault="008B032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Тематика обращений отражена в таблице</w:t>
      </w:r>
    </w:p>
    <w:p w:rsidR="00FF784E" w:rsidRDefault="00FF784E">
      <w:pPr>
        <w:jc w:val="center"/>
        <w:rPr>
          <w:sz w:val="28"/>
          <w:szCs w:val="28"/>
        </w:rPr>
      </w:pP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6439"/>
        <w:gridCol w:w="2600"/>
      </w:tblGrid>
      <w:tr w:rsidR="00CB452F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 w:rsidP="00F75BCC">
            <w:pPr>
              <w:jc w:val="center"/>
              <w:rPr>
                <w:szCs w:val="28"/>
              </w:rPr>
            </w:pPr>
            <w:r>
              <w:t>2022 год</w:t>
            </w:r>
          </w:p>
        </w:tc>
      </w:tr>
      <w:tr w:rsidR="00CB452F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FF784E" w:rsidP="00F75BCC">
            <w:pPr>
              <w:jc w:val="center"/>
            </w:pPr>
            <w:r>
              <w:t>1</w:t>
            </w:r>
            <w:r w:rsidR="00F75BCC">
              <w:t>7</w:t>
            </w:r>
          </w:p>
        </w:tc>
      </w:tr>
      <w:tr w:rsidR="00F75BCC" w:rsidTr="00EE2231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Вопросы организации деятельности редакций СМИ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2</w:t>
            </w:r>
          </w:p>
        </w:tc>
      </w:tr>
      <w:tr w:rsidR="00F75BCC" w:rsidTr="00EE2231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lastRenderedPageBreak/>
              <w:t xml:space="preserve">Вопросы по содержанию материалов, публикуемых в СМИ, в </w:t>
            </w:r>
            <w:proofErr w:type="spellStart"/>
            <w:r w:rsidRPr="00995404">
              <w:t>т.ч</w:t>
            </w:r>
            <w:proofErr w:type="spellEnd"/>
            <w:r w:rsidRPr="00995404">
              <w:t>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14</w:t>
            </w:r>
          </w:p>
        </w:tc>
      </w:tr>
      <w:tr w:rsidR="00F75BCC" w:rsidTr="00EE2231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ind w:firstLineChars="300" w:firstLine="720"/>
              <w:jc w:val="center"/>
            </w:pPr>
            <w:r w:rsidRPr="00995404">
              <w:t>Разъяснение вопросов по разрешительной деятельности и лицензированию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CC" w:rsidRPr="00995404" w:rsidRDefault="00F75BCC" w:rsidP="003E67D3">
            <w:pPr>
              <w:jc w:val="center"/>
            </w:pPr>
            <w:r w:rsidRPr="00995404">
              <w:t>1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ind w:firstLine="480"/>
            </w:pPr>
            <w:r>
              <w:t>Интернет и информационные технологии: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F75BCC" w:rsidP="00F75BCC">
            <w:pPr>
              <w:jc w:val="center"/>
            </w:pPr>
            <w:r>
              <w:t>734</w:t>
            </w:r>
            <w:bookmarkStart w:id="0" w:name="_GoBack"/>
            <w:bookmarkEnd w:id="0"/>
          </w:p>
        </w:tc>
      </w:tr>
      <w:tr w:rsidR="00F75BC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E221ED">
            <w:r w:rsidRPr="008B2514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F75BCC">
            <w:pPr>
              <w:jc w:val="center"/>
            </w:pPr>
            <w:r w:rsidRPr="008B2514">
              <w:t>720</w:t>
            </w:r>
          </w:p>
        </w:tc>
      </w:tr>
      <w:tr w:rsidR="00F75BC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E221ED">
            <w:r w:rsidRPr="008B2514">
              <w:t>Регистрация доменных имен и другие вопрос информационных технологий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F75BCC">
            <w:pPr>
              <w:jc w:val="center"/>
            </w:pPr>
            <w:r w:rsidRPr="008B2514">
              <w:t>0</w:t>
            </w:r>
          </w:p>
        </w:tc>
      </w:tr>
      <w:tr w:rsidR="00F75BC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E221ED">
            <w:r w:rsidRPr="008B251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F75BCC">
            <w:pPr>
              <w:jc w:val="center"/>
            </w:pPr>
            <w:r w:rsidRPr="008B2514">
              <w:t>4</w:t>
            </w:r>
          </w:p>
        </w:tc>
      </w:tr>
      <w:tr w:rsidR="00F75BC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E221ED">
            <w:r w:rsidRPr="008B2514">
              <w:t>Требования о разблокировке сайтов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F75BCC">
            <w:pPr>
              <w:jc w:val="center"/>
            </w:pPr>
            <w:r w:rsidRPr="008B2514">
              <w:t>3</w:t>
            </w:r>
          </w:p>
        </w:tc>
      </w:tr>
      <w:tr w:rsidR="00F75BC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Pr="008B2514" w:rsidRDefault="00F75BCC" w:rsidP="00E221ED">
            <w:r w:rsidRPr="008B2514">
              <w:t>Сообщения о нарушении положений 398-фз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C" w:rsidRDefault="00F75BCC" w:rsidP="00F75BCC">
            <w:pPr>
              <w:jc w:val="center"/>
            </w:pPr>
            <w:r w:rsidRPr="008B2514">
              <w:t>7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FF784E" w:rsidP="00F75BCC">
            <w:pPr>
              <w:jc w:val="center"/>
            </w:pPr>
            <w:r>
              <w:t>600</w:t>
            </w:r>
          </w:p>
        </w:tc>
      </w:tr>
    </w:tbl>
    <w:p w:rsidR="00CB452F" w:rsidRDefault="00CB452F"/>
    <w:sectPr w:rsidR="00CB45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1F79"/>
    <w:multiLevelType w:val="multilevel"/>
    <w:tmpl w:val="6D666A00"/>
    <w:lvl w:ilvl="0">
      <w:numFmt w:val="bullet"/>
      <w:lvlText w:val=""/>
      <w:lvlJc w:val="left"/>
      <w:pPr>
        <w:ind w:left="160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1">
    <w:nsid w:val="5E951ABE"/>
    <w:multiLevelType w:val="multilevel"/>
    <w:tmpl w:val="85D26E8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51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7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1" w:hanging="360"/>
      </w:pPr>
      <w:rPr>
        <w:rFonts w:ascii="Wingdings" w:eastAsia="Wingdings" w:hAnsi="Wingdings" w:cs="Wingdings"/>
      </w:rPr>
    </w:lvl>
  </w:abstractNum>
  <w:abstractNum w:abstractNumId="2">
    <w:nsid w:val="635E1883"/>
    <w:multiLevelType w:val="multilevel"/>
    <w:tmpl w:val="433A58E4"/>
    <w:lvl w:ilvl="0">
      <w:numFmt w:val="bullet"/>
      <w:lvlText w:val=""/>
      <w:lvlJc w:val="left"/>
      <w:pPr>
        <w:ind w:left="92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3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45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7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9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1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3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059" w:hanging="360"/>
      </w:pPr>
      <w:rPr>
        <w:rFonts w:ascii="Wingdings" w:eastAsia="Wingdings" w:hAnsi="Wingdings" w:cs="Wingdings"/>
      </w:rPr>
    </w:lvl>
  </w:abstractNum>
  <w:abstractNum w:abstractNumId="3">
    <w:nsid w:val="6BE0B5A8"/>
    <w:multiLevelType w:val="multilevel"/>
    <w:tmpl w:val="F8B6FEE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F"/>
    <w:rsid w:val="001D4FA9"/>
    <w:rsid w:val="00292903"/>
    <w:rsid w:val="008B0322"/>
    <w:rsid w:val="00CB452F"/>
    <w:rsid w:val="00F75BC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4</cp:revision>
  <dcterms:created xsi:type="dcterms:W3CDTF">2022-07-12T14:09:00Z</dcterms:created>
  <dcterms:modified xsi:type="dcterms:W3CDTF">2023-01-18T12:03:00Z</dcterms:modified>
</cp:coreProperties>
</file>